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36D3" w:rsidRDefault="00000000">
      <w:pPr>
        <w:pStyle w:val="Standard"/>
        <w:spacing w:after="0"/>
        <w:jc w:val="right"/>
      </w:pPr>
      <w:r>
        <w:rPr>
          <w:rFonts w:ascii="Arial" w:hAnsi="Arial" w:cs="Arial"/>
          <w:color w:val="000000"/>
        </w:rPr>
        <w:t xml:space="preserve">Polanów, </w:t>
      </w:r>
      <w:r>
        <w:rPr>
          <w:rFonts w:ascii="Arial" w:hAnsi="Arial" w:cs="Arial"/>
        </w:rPr>
        <w:t>dnia 13 czerwca 2025 r.</w:t>
      </w:r>
    </w:p>
    <w:p w:rsidR="004D36D3" w:rsidRDefault="00000000">
      <w:pPr>
        <w:pStyle w:val="Standard"/>
        <w:spacing w:after="0"/>
        <w:ind w:firstLine="0"/>
      </w:pPr>
      <w:r>
        <w:rPr>
          <w:rFonts w:ascii="Arial" w:hAnsi="Arial" w:cs="Arial"/>
          <w:b/>
        </w:rPr>
        <w:t>Burmistrz Polanowa</w:t>
      </w:r>
      <w:r>
        <w:rPr>
          <w:rFonts w:ascii="Arial" w:hAnsi="Arial" w:cs="Arial"/>
          <w:b/>
        </w:rPr>
        <w:tab/>
      </w:r>
    </w:p>
    <w:p w:rsidR="004D36D3" w:rsidRDefault="00000000">
      <w:pPr>
        <w:pStyle w:val="Standard"/>
        <w:spacing w:after="0"/>
        <w:ind w:firstLine="0"/>
        <w:rPr>
          <w:rFonts w:ascii="Arial" w:hAnsi="Arial" w:cs="Arial"/>
          <w:b/>
        </w:rPr>
      </w:pPr>
      <w:r>
        <w:rPr>
          <w:rFonts w:ascii="Arial" w:hAnsi="Arial" w:cs="Arial"/>
          <w:b/>
        </w:rPr>
        <w:t>ul. Wolności 4</w:t>
      </w:r>
    </w:p>
    <w:p w:rsidR="004D36D3" w:rsidRDefault="00000000">
      <w:pPr>
        <w:pStyle w:val="Standard"/>
        <w:spacing w:after="0"/>
        <w:ind w:firstLine="0"/>
        <w:rPr>
          <w:rFonts w:ascii="Arial" w:hAnsi="Arial" w:cs="Arial"/>
          <w:b/>
        </w:rPr>
      </w:pPr>
      <w:r>
        <w:rPr>
          <w:rFonts w:ascii="Arial" w:hAnsi="Arial" w:cs="Arial"/>
          <w:b/>
        </w:rPr>
        <w:t>76-010 Polanów</w:t>
      </w:r>
    </w:p>
    <w:p w:rsidR="004D36D3" w:rsidRDefault="00000000">
      <w:pPr>
        <w:pStyle w:val="Standard"/>
        <w:spacing w:after="0"/>
        <w:ind w:firstLine="0"/>
        <w:rPr>
          <w:rFonts w:ascii="Arial" w:eastAsia="Times New Roman" w:hAnsi="Arial" w:cs="Arial"/>
        </w:rPr>
      </w:pPr>
      <w:r>
        <w:rPr>
          <w:rFonts w:ascii="Arial" w:eastAsia="Times New Roman" w:hAnsi="Arial" w:cs="Arial"/>
        </w:rPr>
        <w:t>GNR.I.6220.3.2021.44</w:t>
      </w:r>
    </w:p>
    <w:p w:rsidR="004D36D3" w:rsidRDefault="00000000" w:rsidP="004B0D9F">
      <w:pPr>
        <w:pStyle w:val="Standard"/>
        <w:spacing w:before="240" w:after="240"/>
        <w:ind w:firstLine="0"/>
        <w:jc w:val="center"/>
        <w:rPr>
          <w:rFonts w:ascii="Arial" w:hAnsi="Arial" w:cs="Arial"/>
          <w:b/>
        </w:rPr>
      </w:pPr>
      <w:r>
        <w:rPr>
          <w:rFonts w:ascii="Arial" w:hAnsi="Arial" w:cs="Arial"/>
          <w:b/>
        </w:rPr>
        <w:t>DECYZJA</w:t>
      </w:r>
    </w:p>
    <w:p w:rsidR="004D36D3" w:rsidRDefault="00000000">
      <w:pPr>
        <w:spacing w:line="312" w:lineRule="auto"/>
      </w:pPr>
      <w:r>
        <w:rPr>
          <w:rFonts w:ascii="Arial" w:hAnsi="Arial" w:cs="Arial"/>
        </w:rPr>
        <w:t xml:space="preserve">Na podstawie art. 104 ustawy z dnia 14 czerwca 1960 r. Kodeks postępowania </w:t>
      </w:r>
      <w:r>
        <w:rPr>
          <w:rFonts w:ascii="Arial" w:hAnsi="Arial" w:cs="Arial"/>
        </w:rPr>
        <w:br/>
        <w:t>administracyjnego (</w:t>
      </w:r>
      <w:proofErr w:type="spellStart"/>
      <w:r>
        <w:rPr>
          <w:rFonts w:ascii="Arial" w:hAnsi="Arial" w:cs="Arial"/>
        </w:rPr>
        <w:t>t.j</w:t>
      </w:r>
      <w:proofErr w:type="spellEnd"/>
      <w:r>
        <w:rPr>
          <w:rFonts w:ascii="Arial" w:hAnsi="Arial" w:cs="Arial"/>
        </w:rPr>
        <w:t xml:space="preserve">. Dz. U. z 2024 r. poz. 572) oraz art. 80 ustawy z dnia 3 października 2008 r. o udostępnianiu informacji o środowisku i jego ochronie, udziale społeczeństwa </w:t>
      </w:r>
      <w:r>
        <w:rPr>
          <w:rFonts w:ascii="Arial" w:hAnsi="Arial" w:cs="Arial"/>
        </w:rPr>
        <w:br/>
        <w:t>w ochronie środowiska oraz oddziaływania na środowisko (</w:t>
      </w:r>
      <w:proofErr w:type="spellStart"/>
      <w:r>
        <w:rPr>
          <w:rFonts w:ascii="Arial" w:hAnsi="Arial" w:cs="Arial"/>
        </w:rPr>
        <w:t>t.j</w:t>
      </w:r>
      <w:proofErr w:type="spellEnd"/>
      <w:r>
        <w:rPr>
          <w:rFonts w:ascii="Arial" w:hAnsi="Arial" w:cs="Arial"/>
        </w:rPr>
        <w:t xml:space="preserve"> Dz. U. z 2024 r., poz. 1112), dalej zwaną </w:t>
      </w:r>
      <w:r>
        <w:rPr>
          <w:rFonts w:ascii="Arial" w:hAnsi="Arial" w:cs="Arial"/>
          <w:i/>
        </w:rPr>
        <w:t xml:space="preserve">ustawą </w:t>
      </w:r>
      <w:proofErr w:type="spellStart"/>
      <w:r>
        <w:rPr>
          <w:rFonts w:ascii="Arial" w:hAnsi="Arial" w:cs="Arial"/>
          <w:i/>
        </w:rPr>
        <w:t>ooś</w:t>
      </w:r>
      <w:proofErr w:type="spellEnd"/>
      <w:r>
        <w:rPr>
          <w:rFonts w:ascii="Arial" w:hAnsi="Arial" w:cs="Arial"/>
        </w:rPr>
        <w:t xml:space="preserve">, a także § 3 ust. 1 pkt. 54 lit. „b” Rozporządzenia Rady Ministrów </w:t>
      </w:r>
      <w:r>
        <w:rPr>
          <w:rFonts w:ascii="Arial" w:hAnsi="Arial" w:cs="Arial"/>
        </w:rPr>
        <w:br/>
        <w:t xml:space="preserve">z dnia 10 września 2019 r. w sprawie przedsięwzięć mogących znacząco oddziaływać na </w:t>
      </w:r>
      <w:r>
        <w:rPr>
          <w:rFonts w:ascii="Arial" w:hAnsi="Arial" w:cs="Arial"/>
        </w:rPr>
        <w:br/>
        <w:t xml:space="preserve">środowisko (Dz. U. z 2019 r., poz. 1839), po rozpatrzeniu wniosku z dnia 12 kwietnia 2021 r. spółki </w:t>
      </w:r>
      <w:bookmarkStart w:id="0" w:name="_Hlk200027783"/>
      <w:r>
        <w:rPr>
          <w:rFonts w:ascii="Arial" w:hAnsi="Arial" w:cs="Arial"/>
        </w:rPr>
        <w:t xml:space="preserve">Grupa Rozwoju </w:t>
      </w:r>
      <w:proofErr w:type="spellStart"/>
      <w:r>
        <w:rPr>
          <w:rFonts w:ascii="Arial" w:hAnsi="Arial" w:cs="Arial"/>
        </w:rPr>
        <w:t>Oze</w:t>
      </w:r>
      <w:proofErr w:type="spellEnd"/>
      <w:r>
        <w:rPr>
          <w:rFonts w:ascii="Arial" w:hAnsi="Arial" w:cs="Arial"/>
        </w:rPr>
        <w:t xml:space="preserve"> 2 Sp. z o. o., ul. Jarzębinowa 7, 76-220 Główczyce</w:t>
      </w:r>
      <w:bookmarkEnd w:id="0"/>
      <w:r>
        <w:rPr>
          <w:rFonts w:ascii="Arial" w:hAnsi="Arial" w:cs="Arial"/>
          <w:bCs/>
        </w:rPr>
        <w:t>,</w:t>
      </w:r>
      <w:r>
        <w:rPr>
          <w:rFonts w:ascii="Arial" w:hAnsi="Arial" w:cs="Arial"/>
        </w:rPr>
        <w:t xml:space="preserve"> w sprawie </w:t>
      </w:r>
      <w:r>
        <w:rPr>
          <w:rFonts w:ascii="Arial" w:hAnsi="Arial" w:cs="Arial"/>
        </w:rPr>
        <w:br/>
        <w:t>wydania decyzji o środowiskowych uwarunkowaniach dla przedsięwzięcia polegającego na:</w:t>
      </w:r>
      <w:r>
        <w:rPr>
          <w:rFonts w:ascii="Arial" w:hAnsi="Arial" w:cs="Arial"/>
          <w:iCs/>
        </w:rPr>
        <w:t xml:space="preserve"> </w:t>
      </w:r>
      <w:r>
        <w:rPr>
          <w:rFonts w:ascii="Arial" w:hAnsi="Arial" w:cs="Arial"/>
          <w:b/>
          <w:bCs/>
          <w:iCs/>
        </w:rPr>
        <w:t>,,</w:t>
      </w:r>
      <w:r>
        <w:rPr>
          <w:rFonts w:ascii="Arial" w:hAnsi="Arial" w:cs="Arial"/>
          <w:b/>
          <w:bCs/>
        </w:rPr>
        <w:t xml:space="preserve">Budowie i eksploatacji elektrowni słonecznej na powierzchni do 70 ha wraz </w:t>
      </w:r>
      <w:r>
        <w:rPr>
          <w:rFonts w:ascii="Arial" w:hAnsi="Arial" w:cs="Arial"/>
          <w:b/>
          <w:bCs/>
        </w:rPr>
        <w:br/>
        <w:t xml:space="preserve">z infrastrukturą towarzyszącą w województwie zachodniopomorskim, powiecie </w:t>
      </w:r>
      <w:r>
        <w:rPr>
          <w:rFonts w:ascii="Arial" w:hAnsi="Arial" w:cs="Arial"/>
          <w:b/>
          <w:bCs/>
        </w:rPr>
        <w:br/>
        <w:t xml:space="preserve">koszalińskim, gminie Polanów, obrębie ewidencyjnym Żydowo, działki nr 176/4, 177/6, 178/2, 198/6, 207/1, 207/3” </w:t>
      </w:r>
      <w:r>
        <w:rPr>
          <w:rFonts w:ascii="Arial" w:hAnsi="Arial" w:cs="Arial"/>
          <w:bCs/>
        </w:rPr>
        <w:t xml:space="preserve">i przeprowadzeniu oceny oddziaływania przedsięwzięcia na </w:t>
      </w:r>
      <w:r>
        <w:rPr>
          <w:rFonts w:ascii="Arial" w:hAnsi="Arial" w:cs="Arial"/>
          <w:bCs/>
        </w:rPr>
        <w:br/>
        <w:t>środowisko,</w:t>
      </w:r>
    </w:p>
    <w:p w:rsidR="004D36D3" w:rsidRDefault="00000000">
      <w:pPr>
        <w:pStyle w:val="Akapitzlist"/>
        <w:spacing w:before="240" w:after="240"/>
        <w:ind w:left="425" w:firstLine="0"/>
        <w:jc w:val="center"/>
        <w:rPr>
          <w:rFonts w:ascii="Arial" w:eastAsia="Times New Roman" w:hAnsi="Arial" w:cs="Arial"/>
          <w:b/>
          <w:lang w:eastAsia="pl-PL"/>
        </w:rPr>
      </w:pPr>
      <w:r>
        <w:rPr>
          <w:rFonts w:ascii="Arial" w:eastAsia="Times New Roman" w:hAnsi="Arial" w:cs="Arial"/>
          <w:b/>
          <w:lang w:eastAsia="pl-PL"/>
        </w:rPr>
        <w:t>odmawiam</w:t>
      </w:r>
    </w:p>
    <w:p w:rsidR="004D36D3" w:rsidRDefault="00000000">
      <w:pPr>
        <w:pStyle w:val="Standard"/>
        <w:spacing w:before="57" w:after="297"/>
        <w:ind w:firstLine="0"/>
      </w:pPr>
      <w:r>
        <w:rPr>
          <w:rFonts w:ascii="Arial" w:eastAsia="Times New Roman" w:hAnsi="Arial" w:cs="Arial"/>
          <w:bCs/>
          <w:lang w:eastAsia="pl-PL"/>
        </w:rPr>
        <w:t xml:space="preserve">wydania decyzji o środowiskowych uwarunkowaniach dla planowanego przedsięwzięcia polegającego na </w:t>
      </w:r>
      <w:r>
        <w:rPr>
          <w:rFonts w:ascii="Arial" w:hAnsi="Arial" w:cs="Arial"/>
          <w:iCs/>
        </w:rPr>
        <w:t>,,</w:t>
      </w:r>
      <w:r>
        <w:rPr>
          <w:rFonts w:ascii="Arial" w:hAnsi="Arial" w:cs="Arial"/>
          <w:b/>
          <w:bCs/>
        </w:rPr>
        <w:t>Budowie i eksploatacji elektrowni słonecznej na powierzchni do 70 ha wraz z infrastrukturą towarzyszącą w województwie zachodniopomorskim, powiecie koszalińskim, gminie Polanów, obrębie ewidencyjnym Żydowo, działki nr 176/4, 177/6, 178/2, 198/6, 207/1, 207/3</w:t>
      </w:r>
      <w:r>
        <w:rPr>
          <w:rFonts w:ascii="Arial" w:hAnsi="Arial" w:cs="Arial"/>
          <w:iCs/>
        </w:rPr>
        <w:t>”.</w:t>
      </w:r>
    </w:p>
    <w:p w:rsidR="004D36D3" w:rsidRDefault="00000000">
      <w:pPr>
        <w:pStyle w:val="Standard"/>
        <w:spacing w:before="360" w:after="240"/>
        <w:ind w:firstLine="0"/>
        <w:jc w:val="center"/>
        <w:rPr>
          <w:rFonts w:ascii="Arial" w:hAnsi="Arial" w:cs="Arial"/>
          <w:b/>
          <w:color w:val="000000"/>
        </w:rPr>
      </w:pPr>
      <w:r>
        <w:rPr>
          <w:rFonts w:ascii="Arial" w:hAnsi="Arial" w:cs="Arial"/>
          <w:b/>
          <w:color w:val="000000"/>
        </w:rPr>
        <w:t>UZASADNIENIE</w:t>
      </w:r>
    </w:p>
    <w:p w:rsidR="004D36D3" w:rsidRDefault="00000000">
      <w:pPr>
        <w:spacing w:line="276" w:lineRule="auto"/>
        <w:ind w:firstLine="420"/>
      </w:pPr>
      <w:r>
        <w:rPr>
          <w:rFonts w:ascii="Arial" w:hAnsi="Arial" w:cs="Arial"/>
          <w:color w:val="000000"/>
        </w:rPr>
        <w:t>Procedura oceny oddziaływania planowanego przedsięwzięcia na środowisko została wszczęta w związku ze złożonym w dniu 13 kwietnia 2021 r. wnioskiem</w:t>
      </w:r>
      <w:r>
        <w:rPr>
          <w:rFonts w:ascii="Arial" w:hAnsi="Arial" w:cs="Arial"/>
        </w:rPr>
        <w:t xml:space="preserve"> spółki Grupa Rozwoju </w:t>
      </w:r>
      <w:proofErr w:type="spellStart"/>
      <w:r>
        <w:rPr>
          <w:rFonts w:ascii="Arial" w:hAnsi="Arial" w:cs="Arial"/>
        </w:rPr>
        <w:t>Oze</w:t>
      </w:r>
      <w:proofErr w:type="spellEnd"/>
      <w:r>
        <w:rPr>
          <w:rFonts w:ascii="Arial" w:hAnsi="Arial" w:cs="Arial"/>
        </w:rPr>
        <w:t xml:space="preserve"> 2 Sp. z o. o., ul. Jarzębinowa 7, 76-220 Główczyce</w:t>
      </w:r>
      <w:r>
        <w:rPr>
          <w:rFonts w:ascii="Arial" w:hAnsi="Arial" w:cs="Arial"/>
          <w:iCs/>
          <w:color w:val="000000"/>
        </w:rPr>
        <w:t xml:space="preserve">, w sprawie wydania decyzji </w:t>
      </w:r>
      <w:r>
        <w:rPr>
          <w:rFonts w:ascii="Arial" w:hAnsi="Arial" w:cs="Arial"/>
          <w:iCs/>
          <w:color w:val="000000"/>
        </w:rPr>
        <w:br/>
        <w:t xml:space="preserve">o środowiskowych uwarunkowaniach dla przedsięwzięcia polegającego na: </w:t>
      </w:r>
      <w:r>
        <w:rPr>
          <w:rFonts w:ascii="Arial" w:hAnsi="Arial" w:cs="Arial"/>
          <w:iCs/>
        </w:rPr>
        <w:t>,,</w:t>
      </w:r>
      <w:r>
        <w:rPr>
          <w:rFonts w:ascii="Arial" w:hAnsi="Arial" w:cs="Arial"/>
        </w:rPr>
        <w:t xml:space="preserve">Budowie </w:t>
      </w:r>
      <w:r>
        <w:rPr>
          <w:rFonts w:ascii="Arial" w:hAnsi="Arial" w:cs="Arial"/>
        </w:rPr>
        <w:br/>
        <w:t xml:space="preserve">i eksploatacji elektrowni słonecznej na powierzchni do 70 ha wraz z infrastrukturą </w:t>
      </w:r>
      <w:r>
        <w:rPr>
          <w:rFonts w:ascii="Arial" w:hAnsi="Arial" w:cs="Arial"/>
        </w:rPr>
        <w:br/>
        <w:t>towarzyszącą w województwie zachodniopomorskim, powiecie koszalińskim, gminie Polanów, obrębie ewidencyjnym Żydowo, działki nr 176/4, 177/6, 178/2, 198/6, 207/1, 207/3</w:t>
      </w:r>
      <w:r>
        <w:rPr>
          <w:rFonts w:ascii="Arial" w:hAnsi="Arial" w:cs="Arial"/>
          <w:iCs/>
        </w:rPr>
        <w:t>”.</w:t>
      </w:r>
    </w:p>
    <w:p w:rsidR="004D36D3" w:rsidRDefault="00000000">
      <w:pPr>
        <w:pStyle w:val="Standard"/>
        <w:spacing w:after="0"/>
        <w:ind w:firstLine="420"/>
      </w:pPr>
      <w:r>
        <w:rPr>
          <w:rFonts w:ascii="Arial" w:hAnsi="Arial" w:cs="Arial"/>
          <w:color w:val="000000"/>
        </w:rPr>
        <w:t xml:space="preserve">Postępowanie administracyjne w sprawie wydania decyzji o środowiskowych uwarunkowaniach dla ww. inwestycji zostało wszczęte zawiadomieniem z dnia 21 kwietnia 2021 r. znak: GNR.I.6220.3.2021.1, o czym zgodnie z art. 61 </w:t>
      </w:r>
      <w:r>
        <w:rPr>
          <w:rStyle w:val="alb"/>
          <w:rFonts w:ascii="Arial" w:hAnsi="Arial" w:cs="Arial"/>
          <w:color w:val="000000"/>
        </w:rPr>
        <w:t>§ 4 kpa poinformowano wszystkie osoby będące stronami w sprawie.</w:t>
      </w:r>
      <w:r>
        <w:rPr>
          <w:rStyle w:val="TekstdymkaZnak"/>
          <w:rFonts w:ascii="Arial" w:hAnsi="Arial" w:cs="Arial"/>
        </w:rPr>
        <w:t xml:space="preserve"> </w:t>
      </w:r>
      <w:r>
        <w:rPr>
          <w:rStyle w:val="alb"/>
          <w:rFonts w:ascii="Arial" w:hAnsi="Arial" w:cs="Arial"/>
        </w:rPr>
        <w:t xml:space="preserve">Z uwagi na fakt, iż liczba stron przekracza 10, zawiadomienia dokonano również w formie obwieszczenia przez udostępnienie na tablicy ogłoszeń i na stronie Biuletynu Informacji Publicznej Urzędu Miejskiego w Polanowie oraz w sołectwie Żydowo, w myśl art. 74 ust. 3 ustawy </w:t>
      </w:r>
      <w:proofErr w:type="spellStart"/>
      <w:r>
        <w:rPr>
          <w:rStyle w:val="alb"/>
          <w:rFonts w:ascii="Arial" w:hAnsi="Arial" w:cs="Arial"/>
        </w:rPr>
        <w:t>ooś</w:t>
      </w:r>
      <w:proofErr w:type="spellEnd"/>
      <w:r>
        <w:rPr>
          <w:rStyle w:val="alb"/>
          <w:rFonts w:ascii="Arial" w:hAnsi="Arial" w:cs="Arial"/>
        </w:rPr>
        <w:t>, w tych okolicznościach stosuje się przepis art. 49 k.p.a.</w:t>
      </w:r>
    </w:p>
    <w:p w:rsidR="004D36D3" w:rsidRDefault="00000000">
      <w:pPr>
        <w:pStyle w:val="Standard"/>
        <w:spacing w:after="0"/>
        <w:ind w:firstLine="420"/>
      </w:pPr>
      <w:r>
        <w:rPr>
          <w:rStyle w:val="alb"/>
          <w:rFonts w:ascii="Arial" w:hAnsi="Arial" w:cs="Arial"/>
          <w:color w:val="000000"/>
        </w:rPr>
        <w:lastRenderedPageBreak/>
        <w:t xml:space="preserve">Planowana inwestycja zgodnie z informacjami zawartymi w karcie informacyjnej przedsięwzięcia została zakwalifikowana do przedsięwzięć mogących potencjalnie znacząco oddziaływać na środowisko na podstawie </w:t>
      </w:r>
      <w:r>
        <w:rPr>
          <w:rFonts w:ascii="Arial" w:hAnsi="Arial" w:cs="Arial"/>
          <w:color w:val="000000"/>
        </w:rPr>
        <w:t xml:space="preserve">§3 ust. 1 pkt 54 lit. „b” </w:t>
      </w:r>
      <w:r>
        <w:rPr>
          <w:rFonts w:ascii="Arial" w:hAnsi="Arial" w:cs="Arial"/>
          <w:bCs/>
          <w:color w:val="000000"/>
        </w:rPr>
        <w:t>Rozporządzenia Rady Ministrów z dnia 10 września 2019 r. w sprawie przedsięwzięć mogących znacząco oddziaływać na środowisko (Dz.U. z 2019 r. poz. 1839).</w:t>
      </w:r>
    </w:p>
    <w:p w:rsidR="004D36D3" w:rsidRDefault="00000000">
      <w:pPr>
        <w:pStyle w:val="Standard"/>
        <w:spacing w:after="0"/>
        <w:ind w:firstLine="420"/>
      </w:pPr>
      <w:r>
        <w:rPr>
          <w:rStyle w:val="alb"/>
          <w:rFonts w:ascii="Arial" w:hAnsi="Arial" w:cs="Arial"/>
          <w:color w:val="000000"/>
        </w:rPr>
        <w:t xml:space="preserve">Stosownie do treści art. 59 ust. 1 pkt 2 ustawy </w:t>
      </w:r>
      <w:proofErr w:type="spellStart"/>
      <w:r>
        <w:rPr>
          <w:rStyle w:val="alb"/>
          <w:rFonts w:ascii="Arial" w:hAnsi="Arial" w:cs="Arial"/>
          <w:color w:val="000000"/>
        </w:rPr>
        <w:t>ooś</w:t>
      </w:r>
      <w:proofErr w:type="spellEnd"/>
      <w:r>
        <w:rPr>
          <w:rStyle w:val="alb"/>
          <w:rFonts w:ascii="Arial" w:hAnsi="Arial" w:cs="Arial"/>
          <w:color w:val="000000"/>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Pr>
          <w:rStyle w:val="alb"/>
          <w:rFonts w:ascii="Arial" w:hAnsi="Arial" w:cs="Arial"/>
          <w:color w:val="000000"/>
        </w:rPr>
        <w:t>ooś</w:t>
      </w:r>
      <w:proofErr w:type="spellEnd"/>
      <w:r>
        <w:rPr>
          <w:rStyle w:val="alb"/>
          <w:rFonts w:ascii="Arial" w:hAnsi="Arial" w:cs="Arial"/>
          <w:color w:val="000000"/>
        </w:rPr>
        <w:t xml:space="preserve"> Burmistrz Polanowa pismem z dnia 23 czerwca 2021 r. znak: GNR.I.6220.3.2021.5 wystąpił do Regionalnego Dyrektora Ochrony Środowiska w Szczecinie WST w Koszalinie, Państwowego Powiatowego Inspektora Sanitarnego w Koszalinie oraz Państwowego Gospodarstwa Wodnego Wody Polskie Zarządu Zlewni w Koszalinie o wydanie opinii co do potrzeby przeprowadzenia oceny oddziaływania przedsięwzięcia na środowisko i ewentualnego zakresu raportu.</w:t>
      </w:r>
    </w:p>
    <w:p w:rsidR="004D36D3" w:rsidRDefault="00000000">
      <w:pPr>
        <w:pStyle w:val="Standard"/>
        <w:spacing w:after="0"/>
        <w:ind w:firstLine="708"/>
      </w:pPr>
      <w:r>
        <w:rPr>
          <w:rStyle w:val="alb"/>
          <w:rFonts w:ascii="Arial" w:hAnsi="Arial" w:cs="Arial"/>
          <w:color w:val="000000"/>
        </w:rPr>
        <w:t>Pismem z dnia 09 lipca 2021</w:t>
      </w:r>
      <w:r>
        <w:rPr>
          <w:rFonts w:ascii="Arial" w:eastAsia="Times New Roman" w:hAnsi="Arial" w:cs="Arial"/>
          <w:color w:val="000000"/>
          <w:lang w:eastAsia="pl-PL"/>
        </w:rPr>
        <w:t xml:space="preserve"> r., znak: </w:t>
      </w:r>
      <w:proofErr w:type="gramStart"/>
      <w:r>
        <w:rPr>
          <w:rFonts w:ascii="Arial" w:eastAsia="Times New Roman" w:hAnsi="Arial" w:cs="Arial"/>
          <w:color w:val="000000"/>
          <w:lang w:eastAsia="pl-PL"/>
        </w:rPr>
        <w:t>SZ.ZZŚ</w:t>
      </w:r>
      <w:proofErr w:type="gramEnd"/>
      <w:r>
        <w:rPr>
          <w:rFonts w:ascii="Arial" w:eastAsia="Times New Roman" w:hAnsi="Arial" w:cs="Arial"/>
          <w:color w:val="000000"/>
          <w:lang w:eastAsia="pl-PL"/>
        </w:rPr>
        <w:t>.2.4360.153.2021.IW Dyrektor Zarządu Zlewni w Koszalinie Państwowego Gospodarstwa Wodnego Wody Polskie, wyraził opinię o braku potrzeby przeprowadzenia oceny oddziaływania planowanego przedsięwzięcia na stan zasobów wodnych i zagrożenie osiągnięcia celów środowiskowych.</w:t>
      </w:r>
    </w:p>
    <w:p w:rsidR="004D36D3" w:rsidRDefault="00000000">
      <w:pPr>
        <w:spacing w:line="276" w:lineRule="auto"/>
        <w:ind w:firstLine="709"/>
      </w:pPr>
      <w:r>
        <w:rPr>
          <w:rStyle w:val="alb"/>
          <w:rFonts w:ascii="Arial" w:eastAsia="Times New Roman" w:hAnsi="Arial" w:cs="Arial"/>
          <w:color w:val="000000"/>
          <w:lang w:eastAsia="pl-PL"/>
        </w:rPr>
        <w:t xml:space="preserve">Regionalny Dyrektor Ochrony Środowiska w Szczecinie WST w Koszalinie pismem z dnia 25 listopada 2021 r. znak: WST-K.4220.225.2021.AL.3 wyraził opinię, że dla </w:t>
      </w:r>
      <w:r>
        <w:rPr>
          <w:rStyle w:val="alb"/>
          <w:rFonts w:ascii="Arial" w:eastAsia="Times New Roman" w:hAnsi="Arial" w:cs="Arial"/>
          <w:color w:val="000000"/>
          <w:lang w:eastAsia="pl-PL"/>
        </w:rPr>
        <w:br/>
        <w:t>przedsięwzięcia polegającego na</w:t>
      </w:r>
      <w:r>
        <w:rPr>
          <w:rFonts w:ascii="Arial" w:hAnsi="Arial" w:cs="Arial"/>
          <w:iCs/>
          <w:color w:val="000000"/>
        </w:rPr>
        <w:t xml:space="preserve">: </w:t>
      </w:r>
      <w:r>
        <w:rPr>
          <w:rFonts w:ascii="Arial" w:hAnsi="Arial" w:cs="Arial"/>
          <w:iCs/>
        </w:rPr>
        <w:t>,,</w:t>
      </w:r>
      <w:r>
        <w:rPr>
          <w:rFonts w:ascii="Arial" w:hAnsi="Arial" w:cs="Arial"/>
        </w:rPr>
        <w:t xml:space="preserve">Budowie i eksploatacji elektrowni słonecznej na </w:t>
      </w:r>
      <w:r>
        <w:rPr>
          <w:rFonts w:ascii="Arial" w:hAnsi="Arial" w:cs="Arial"/>
        </w:rPr>
        <w:br/>
        <w:t xml:space="preserve">powierzchni do 70 ha wraz z infrastrukturą towarzyszącą w województwie </w:t>
      </w:r>
      <w:r>
        <w:rPr>
          <w:rFonts w:ascii="Arial" w:hAnsi="Arial" w:cs="Arial"/>
        </w:rPr>
        <w:br/>
        <w:t xml:space="preserve">zachodniopomorskim, powiecie koszalińskim, gminie Polanów, obrębie ewidencyjnym </w:t>
      </w:r>
      <w:r>
        <w:rPr>
          <w:rFonts w:ascii="Arial" w:hAnsi="Arial" w:cs="Arial"/>
        </w:rPr>
        <w:br/>
        <w:t>Żydowo, działki nr 176/4, 177/6, 178/2, 198/6, 207/1, 207/3</w:t>
      </w:r>
      <w:r>
        <w:rPr>
          <w:rFonts w:ascii="Arial" w:hAnsi="Arial" w:cs="Arial"/>
          <w:iCs/>
        </w:rPr>
        <w:t xml:space="preserve">” istnieje konieczność </w:t>
      </w:r>
      <w:r>
        <w:rPr>
          <w:rFonts w:ascii="Arial" w:hAnsi="Arial" w:cs="Arial"/>
          <w:iCs/>
        </w:rPr>
        <w:br/>
        <w:t xml:space="preserve">przeprowadzenia oceny </w:t>
      </w:r>
      <w:r>
        <w:rPr>
          <w:rFonts w:ascii="Arial" w:eastAsia="Times New Roman" w:hAnsi="Arial" w:cs="Arial"/>
          <w:lang w:eastAsia="pl-PL"/>
        </w:rPr>
        <w:t xml:space="preserve">oddziaływania na środowisko i ustalił zakres raportu </w:t>
      </w:r>
      <w:proofErr w:type="spellStart"/>
      <w:r>
        <w:rPr>
          <w:rFonts w:ascii="Arial" w:eastAsia="Times New Roman" w:hAnsi="Arial" w:cs="Arial"/>
          <w:lang w:eastAsia="pl-PL"/>
        </w:rPr>
        <w:t>ooś</w:t>
      </w:r>
      <w:proofErr w:type="spellEnd"/>
      <w:r>
        <w:rPr>
          <w:rFonts w:ascii="Arial" w:eastAsia="Times New Roman" w:hAnsi="Arial" w:cs="Arial"/>
          <w:lang w:eastAsia="pl-PL"/>
        </w:rPr>
        <w:t xml:space="preserve">, w myśl art. 66 ustawy </w:t>
      </w:r>
      <w:proofErr w:type="spellStart"/>
      <w:r>
        <w:rPr>
          <w:rFonts w:ascii="Arial" w:eastAsia="Times New Roman" w:hAnsi="Arial" w:cs="Arial"/>
          <w:lang w:eastAsia="pl-PL"/>
        </w:rPr>
        <w:t>ooś</w:t>
      </w:r>
      <w:proofErr w:type="spellEnd"/>
      <w:r>
        <w:rPr>
          <w:rFonts w:ascii="Arial" w:eastAsia="Times New Roman" w:hAnsi="Arial" w:cs="Arial"/>
          <w:lang w:eastAsia="pl-PL"/>
        </w:rPr>
        <w:t>.</w:t>
      </w:r>
    </w:p>
    <w:p w:rsidR="004D36D3" w:rsidRDefault="00000000">
      <w:pPr>
        <w:pStyle w:val="Default"/>
        <w:spacing w:line="276" w:lineRule="auto"/>
        <w:ind w:firstLine="708"/>
      </w:pPr>
      <w:r>
        <w:rPr>
          <w:rFonts w:ascii="Arial" w:hAnsi="Arial" w:cs="Arial"/>
          <w:sz w:val="22"/>
          <w:szCs w:val="22"/>
        </w:rPr>
        <w:t>Państwowy Powiatowy Inspektor Sanitarny w Koszalinie w opinii z dnia 09 lipca 2021 r. znak: ZNS.9022.4.20.2021 stwierdził potrzebę sporządzenia raportu oddziaływania na środowisko przedmiotowego przedsięwzięcia.</w:t>
      </w:r>
    </w:p>
    <w:p w:rsidR="004D36D3" w:rsidRDefault="00000000">
      <w:pPr>
        <w:pStyle w:val="Standard"/>
        <w:spacing w:after="0"/>
        <w:ind w:firstLine="708"/>
      </w:pPr>
      <w:r>
        <w:rPr>
          <w:rFonts w:ascii="Arial" w:hAnsi="Arial" w:cs="Arial"/>
          <w:color w:val="000000"/>
        </w:rPr>
        <w:t xml:space="preserve">W myśl art. 64 ust. 1 pkt 1 ustawy </w:t>
      </w:r>
      <w:proofErr w:type="spellStart"/>
      <w:r>
        <w:rPr>
          <w:rFonts w:ascii="Arial" w:hAnsi="Arial" w:cs="Arial"/>
          <w:color w:val="000000"/>
        </w:rPr>
        <w:t>ooś</w:t>
      </w:r>
      <w:proofErr w:type="spellEnd"/>
      <w:r>
        <w:rPr>
          <w:rFonts w:ascii="Arial" w:hAnsi="Arial" w:cs="Arial"/>
          <w:color w:val="000000"/>
        </w:rPr>
        <w:t xml:space="preserve">, obowiązek przeprowadzenia oceny oddziaływania planowanych przedsięwzięć mogących potencjalnie znacząco oddziaływać na środowisko, o których mowa w art. 59 ust. 1 pkt 2 ustawy </w:t>
      </w:r>
      <w:proofErr w:type="spellStart"/>
      <w:r>
        <w:rPr>
          <w:rFonts w:ascii="Arial" w:hAnsi="Arial" w:cs="Arial"/>
          <w:color w:val="000000"/>
        </w:rPr>
        <w:t>ooś</w:t>
      </w:r>
      <w:proofErr w:type="spellEnd"/>
      <w:r>
        <w:rPr>
          <w:rFonts w:ascii="Arial" w:hAnsi="Arial" w:cs="Arial"/>
          <w:color w:val="000000"/>
        </w:rPr>
        <w:t>, stwierdza w drodze postanowienia, organ właściwy do wydania decyzji o środowiskowych uwarunkowaniach. Burmistrz Polanowa postanowieniem z dnia 06 grudnia 2021 r. znak: GNR.I.6220.3.2021.10 stwierdził potrzebę przeprowadzenia oceny oddziaływania na środowisko planowanego przedsięwzięcia pn.</w:t>
      </w:r>
      <w:proofErr w:type="gramStart"/>
      <w:r>
        <w:rPr>
          <w:rFonts w:ascii="Arial" w:hAnsi="Arial" w:cs="Arial"/>
          <w:color w:val="000000"/>
        </w:rPr>
        <w:t>:</w:t>
      </w:r>
      <w:r>
        <w:rPr>
          <w:rFonts w:ascii="Arial" w:hAnsi="Arial" w:cs="Arial"/>
          <w:iCs/>
          <w:color w:val="000000"/>
        </w:rPr>
        <w:t xml:space="preserve"> </w:t>
      </w:r>
      <w:r>
        <w:rPr>
          <w:rFonts w:ascii="Arial" w:hAnsi="Arial" w:cs="Arial"/>
          <w:iCs/>
        </w:rPr>
        <w:t>,,</w:t>
      </w:r>
      <w:r>
        <w:rPr>
          <w:rFonts w:ascii="Arial" w:hAnsi="Arial" w:cs="Arial"/>
        </w:rPr>
        <w:t>Budowa</w:t>
      </w:r>
      <w:proofErr w:type="gramEnd"/>
      <w:r>
        <w:rPr>
          <w:rFonts w:ascii="Arial" w:hAnsi="Arial" w:cs="Arial"/>
        </w:rPr>
        <w:t xml:space="preserve"> i eksploatacja elektrowni słonecznej na powierzchni do 70 ha wraz z infrastrukturą towarzyszącą w województwie zachodniopomorskim, powiecie koszalińskim, gminie Polanów, obrębie ewidencyjnym Żydowo, działki nr 176/4, 177/6, 178/2, 198/6, 207/1, 207/3</w:t>
      </w:r>
      <w:r>
        <w:rPr>
          <w:rFonts w:ascii="Arial" w:hAnsi="Arial" w:cs="Arial"/>
          <w:iCs/>
        </w:rPr>
        <w:t>”.</w:t>
      </w:r>
    </w:p>
    <w:p w:rsidR="004D36D3" w:rsidRDefault="00000000">
      <w:pPr>
        <w:pStyle w:val="Standard"/>
        <w:spacing w:after="0"/>
        <w:ind w:firstLine="708"/>
      </w:pPr>
      <w:r>
        <w:rPr>
          <w:rStyle w:val="alb"/>
          <w:rFonts w:ascii="Arial" w:hAnsi="Arial" w:cs="Arial"/>
          <w:color w:val="000000"/>
        </w:rPr>
        <w:t xml:space="preserve">W dniu 01 lipca 2022 r. </w:t>
      </w:r>
      <w:proofErr w:type="gramStart"/>
      <w:r>
        <w:rPr>
          <w:rStyle w:val="alb"/>
          <w:rFonts w:ascii="Arial" w:hAnsi="Arial" w:cs="Arial"/>
          <w:color w:val="000000"/>
        </w:rPr>
        <w:t>wnioskodawca  przedłożył</w:t>
      </w:r>
      <w:proofErr w:type="gramEnd"/>
      <w:r>
        <w:rPr>
          <w:rStyle w:val="alb"/>
          <w:rFonts w:ascii="Arial" w:hAnsi="Arial" w:cs="Arial"/>
          <w:color w:val="000000"/>
        </w:rPr>
        <w:t xml:space="preserve"> raport o oddziaływaniu planowanego przedsięwzięcia na środowisko.</w:t>
      </w:r>
    </w:p>
    <w:p w:rsidR="004D36D3" w:rsidRDefault="00000000">
      <w:pPr>
        <w:pStyle w:val="Standard"/>
        <w:spacing w:after="0"/>
      </w:pPr>
      <w:r>
        <w:rPr>
          <w:rStyle w:val="alb"/>
          <w:rFonts w:ascii="Arial" w:hAnsi="Arial" w:cs="Arial"/>
          <w:color w:val="000000"/>
        </w:rPr>
        <w:t xml:space="preserve">Burmistrz Polanowa, zgodnie z art. 77 ust. 1 ustawy </w:t>
      </w:r>
      <w:proofErr w:type="spellStart"/>
      <w:r>
        <w:rPr>
          <w:rStyle w:val="alb"/>
          <w:rFonts w:ascii="Arial" w:hAnsi="Arial" w:cs="Arial"/>
          <w:color w:val="000000"/>
        </w:rPr>
        <w:t>ooś</w:t>
      </w:r>
      <w:proofErr w:type="spellEnd"/>
      <w:r>
        <w:rPr>
          <w:rStyle w:val="alb"/>
          <w:rFonts w:ascii="Arial" w:hAnsi="Arial" w:cs="Arial"/>
          <w:color w:val="000000"/>
        </w:rPr>
        <w:t xml:space="preserve"> pismem z dnia 20 lipca 2022 r. zwrócił się do Regionalnego Dyrektora Ochrony Środowiska, WST w Koszalinie oraz do </w:t>
      </w:r>
      <w:r>
        <w:rPr>
          <w:rFonts w:ascii="Arial" w:eastAsia="Times New Roman" w:hAnsi="Arial" w:cs="Arial"/>
          <w:lang w:eastAsia="pl-PL"/>
        </w:rPr>
        <w:t>Państwowego Powiatowego Inspektora Sanitarnego w Koszalinie</w:t>
      </w:r>
      <w:r>
        <w:rPr>
          <w:rStyle w:val="alb"/>
          <w:rFonts w:ascii="Arial" w:hAnsi="Arial" w:cs="Arial"/>
          <w:color w:val="000000"/>
        </w:rPr>
        <w:t xml:space="preserve"> z wnioskiem o uzgodnienie warunków realizacji przedmiotowego przedsięwzięcia.</w:t>
      </w:r>
    </w:p>
    <w:p w:rsidR="004D36D3" w:rsidRDefault="00000000">
      <w:pPr>
        <w:pStyle w:val="Standard"/>
        <w:spacing w:after="0"/>
        <w:ind w:firstLine="708"/>
        <w:rPr>
          <w:rFonts w:ascii="Arial" w:hAnsi="Arial" w:cs="Arial"/>
          <w:color w:val="000000"/>
        </w:rPr>
      </w:pPr>
      <w:r>
        <w:rPr>
          <w:rFonts w:ascii="Arial" w:hAnsi="Arial" w:cs="Arial"/>
          <w:color w:val="000000"/>
        </w:rPr>
        <w:t>Regionalny Dyrektor Ochrony Środowiska w Szczecinie postanowieniem z dnia 07 lutego 2025 r. znak: WST-K.4221.40.2022.MG.12 uzgodnił realizację przedsięwzięcia i jednocześnie określił warunki realizacji inwestycji.</w:t>
      </w:r>
    </w:p>
    <w:p w:rsidR="004D36D3" w:rsidRDefault="00000000">
      <w:pPr>
        <w:pStyle w:val="Standard"/>
        <w:spacing w:after="0"/>
        <w:ind w:firstLine="708"/>
      </w:pPr>
      <w:r>
        <w:rPr>
          <w:rFonts w:ascii="Arial" w:hAnsi="Arial" w:cs="Arial"/>
          <w:color w:val="000000"/>
        </w:rPr>
        <w:lastRenderedPageBreak/>
        <w:t>Państwowy Powiatowy Inspektor Sanitarny pismem z dnia 23 sierpnia 2022 r. znak: ZNS.9022.4.32.2022 zaopiniował pozytywnie realizację przedsięwzięcia pn.</w:t>
      </w:r>
      <w:proofErr w:type="gramStart"/>
      <w:r>
        <w:rPr>
          <w:rFonts w:ascii="Arial" w:hAnsi="Arial" w:cs="Arial"/>
          <w:color w:val="000000"/>
        </w:rPr>
        <w:t xml:space="preserve">: </w:t>
      </w:r>
      <w:r>
        <w:rPr>
          <w:rFonts w:ascii="Arial" w:hAnsi="Arial" w:cs="Arial"/>
          <w:iCs/>
        </w:rPr>
        <w:t>,,</w:t>
      </w:r>
      <w:r>
        <w:rPr>
          <w:rFonts w:ascii="Arial" w:hAnsi="Arial" w:cs="Arial"/>
        </w:rPr>
        <w:t>Budowa</w:t>
      </w:r>
      <w:proofErr w:type="gramEnd"/>
      <w:r>
        <w:rPr>
          <w:rFonts w:ascii="Arial" w:hAnsi="Arial" w:cs="Arial"/>
        </w:rPr>
        <w:t xml:space="preserve"> </w:t>
      </w:r>
      <w:r>
        <w:rPr>
          <w:rFonts w:ascii="Arial" w:hAnsi="Arial" w:cs="Arial"/>
        </w:rPr>
        <w:br/>
        <w:t>i eksploatacja elektrowni słonecznej na powierzchni do 70 ha wraz z infrastrukturą towarzyszącą w województwie zachodniopomorskim, powiecie koszalińskim, gminie Polanów, obrębie ewidencyjnym Żydowo, działki nr 176/4, 177/6, 178/2, 198/6, 207/1, 207/3</w:t>
      </w:r>
      <w:r>
        <w:rPr>
          <w:rFonts w:ascii="Arial" w:hAnsi="Arial" w:cs="Arial"/>
          <w:iCs/>
        </w:rPr>
        <w:t>”.</w:t>
      </w:r>
    </w:p>
    <w:p w:rsidR="004D36D3" w:rsidRDefault="00000000">
      <w:pPr>
        <w:pStyle w:val="Standard"/>
        <w:spacing w:after="0"/>
        <w:ind w:firstLine="709"/>
        <w:rPr>
          <w:rFonts w:ascii="Arial" w:hAnsi="Arial" w:cs="Arial"/>
          <w:color w:val="000000"/>
        </w:rPr>
      </w:pPr>
      <w:r>
        <w:rPr>
          <w:rFonts w:ascii="Arial" w:hAnsi="Arial" w:cs="Arial"/>
          <w:color w:val="000000"/>
        </w:rPr>
        <w:t>W ramach planowanego przedsięwzięcia przewiduje się montaż modułów fotowoltaicznych i inwerterów o łącznej mocy nominalnej do 154 MW, konstrukcji wsporczych, kontenerowych stacji transformatorowych w ilości do 140 szt., wykonanie tras oraz linii kablowych, pozostałych elementów infrastruktury, ogrodzenia.</w:t>
      </w:r>
    </w:p>
    <w:p w:rsidR="004D36D3" w:rsidRDefault="00000000">
      <w:pPr>
        <w:pStyle w:val="Standard"/>
        <w:spacing w:after="0"/>
        <w:ind w:firstLine="709"/>
        <w:rPr>
          <w:rFonts w:ascii="Arial" w:hAnsi="Arial" w:cs="Arial"/>
          <w:color w:val="000000"/>
        </w:rPr>
      </w:pPr>
      <w:r>
        <w:rPr>
          <w:rFonts w:ascii="Arial" w:hAnsi="Arial" w:cs="Arial"/>
          <w:color w:val="000000"/>
        </w:rPr>
        <w:t>Całkowita powierzchnia działek inwestycyjnych wynosi ok. 117 ha, natomiast powierzchnia przeznaczona do przekształcenia w związku z realizacją przedsięwzięcia, wyniesie ok. 46,55 ha. Teren działek inwestycyjnych stanowi mozaikę gruntów oznaczonych w ewidencji jako grunty orne (</w:t>
      </w:r>
      <w:proofErr w:type="spellStart"/>
      <w:r>
        <w:rPr>
          <w:rFonts w:ascii="Arial" w:hAnsi="Arial" w:cs="Arial"/>
          <w:color w:val="000000"/>
        </w:rPr>
        <w:t>RIVb</w:t>
      </w:r>
      <w:proofErr w:type="spellEnd"/>
      <w:r>
        <w:rPr>
          <w:rFonts w:ascii="Arial" w:hAnsi="Arial" w:cs="Arial"/>
          <w:color w:val="000000"/>
        </w:rPr>
        <w:t>, RV, RVI), łąki trwałe (ŁIV, ŁV, ŁVI), nieużytek (N), pastwiska trwałe (</w:t>
      </w:r>
      <w:proofErr w:type="spellStart"/>
      <w:r>
        <w:rPr>
          <w:rFonts w:ascii="Arial" w:hAnsi="Arial" w:cs="Arial"/>
          <w:color w:val="000000"/>
        </w:rPr>
        <w:t>PsIV</w:t>
      </w:r>
      <w:proofErr w:type="spellEnd"/>
      <w:r>
        <w:rPr>
          <w:rFonts w:ascii="Arial" w:hAnsi="Arial" w:cs="Arial"/>
          <w:color w:val="000000"/>
        </w:rPr>
        <w:t xml:space="preserve">, </w:t>
      </w:r>
      <w:proofErr w:type="spellStart"/>
      <w:r>
        <w:rPr>
          <w:rFonts w:ascii="Arial" w:hAnsi="Arial" w:cs="Arial"/>
          <w:color w:val="000000"/>
        </w:rPr>
        <w:t>PsV</w:t>
      </w:r>
      <w:proofErr w:type="spellEnd"/>
      <w:r>
        <w:rPr>
          <w:rFonts w:ascii="Arial" w:hAnsi="Arial" w:cs="Arial"/>
          <w:color w:val="000000"/>
        </w:rPr>
        <w:t xml:space="preserve">, </w:t>
      </w:r>
      <w:proofErr w:type="spellStart"/>
      <w:r>
        <w:rPr>
          <w:rFonts w:ascii="Arial" w:hAnsi="Arial" w:cs="Arial"/>
          <w:color w:val="000000"/>
        </w:rPr>
        <w:t>PsVI</w:t>
      </w:r>
      <w:proofErr w:type="spellEnd"/>
      <w:r>
        <w:rPr>
          <w:rFonts w:ascii="Arial" w:hAnsi="Arial" w:cs="Arial"/>
          <w:color w:val="000000"/>
        </w:rPr>
        <w:t>), grunty pod rowami (W-ŁIV, W-ŁV, W-</w:t>
      </w:r>
      <w:proofErr w:type="spellStart"/>
      <w:r>
        <w:rPr>
          <w:rFonts w:ascii="Arial" w:hAnsi="Arial" w:cs="Arial"/>
          <w:color w:val="000000"/>
        </w:rPr>
        <w:t>LsIV</w:t>
      </w:r>
      <w:proofErr w:type="spellEnd"/>
      <w:r>
        <w:rPr>
          <w:rFonts w:ascii="Arial" w:hAnsi="Arial" w:cs="Arial"/>
          <w:color w:val="000000"/>
        </w:rPr>
        <w:t>, W-</w:t>
      </w:r>
      <w:proofErr w:type="spellStart"/>
      <w:r>
        <w:rPr>
          <w:rFonts w:ascii="Arial" w:hAnsi="Arial" w:cs="Arial"/>
          <w:color w:val="000000"/>
        </w:rPr>
        <w:t>RIVb</w:t>
      </w:r>
      <w:proofErr w:type="spellEnd"/>
      <w:r>
        <w:rPr>
          <w:rFonts w:ascii="Arial" w:hAnsi="Arial" w:cs="Arial"/>
          <w:color w:val="000000"/>
        </w:rPr>
        <w:t>), grunty zadrzewione i zakrzewione (</w:t>
      </w:r>
      <w:proofErr w:type="spellStart"/>
      <w:r>
        <w:rPr>
          <w:rFonts w:ascii="Arial" w:hAnsi="Arial" w:cs="Arial"/>
          <w:color w:val="000000"/>
        </w:rPr>
        <w:t>Lzr</w:t>
      </w:r>
      <w:proofErr w:type="spellEnd"/>
      <w:r>
        <w:rPr>
          <w:rFonts w:ascii="Arial" w:hAnsi="Arial" w:cs="Arial"/>
          <w:color w:val="000000"/>
        </w:rPr>
        <w:t xml:space="preserve">-ŁV, </w:t>
      </w:r>
      <w:proofErr w:type="spellStart"/>
      <w:r>
        <w:rPr>
          <w:rFonts w:ascii="Arial" w:hAnsi="Arial" w:cs="Arial"/>
          <w:color w:val="000000"/>
        </w:rPr>
        <w:t>Lzr-RIVb</w:t>
      </w:r>
      <w:proofErr w:type="spellEnd"/>
      <w:r>
        <w:rPr>
          <w:rFonts w:ascii="Arial" w:hAnsi="Arial" w:cs="Arial"/>
          <w:color w:val="000000"/>
        </w:rPr>
        <w:t xml:space="preserve">, </w:t>
      </w:r>
      <w:proofErr w:type="spellStart"/>
      <w:r>
        <w:rPr>
          <w:rFonts w:ascii="Arial" w:hAnsi="Arial" w:cs="Arial"/>
          <w:color w:val="000000"/>
        </w:rPr>
        <w:t>Lzr-PsVI</w:t>
      </w:r>
      <w:proofErr w:type="spellEnd"/>
      <w:r>
        <w:rPr>
          <w:rFonts w:ascii="Arial" w:hAnsi="Arial" w:cs="Arial"/>
          <w:color w:val="000000"/>
        </w:rPr>
        <w:t>), lasy (</w:t>
      </w:r>
      <w:proofErr w:type="spellStart"/>
      <w:r>
        <w:rPr>
          <w:rFonts w:ascii="Arial" w:hAnsi="Arial" w:cs="Arial"/>
          <w:color w:val="000000"/>
        </w:rPr>
        <w:t>LsIII</w:t>
      </w:r>
      <w:proofErr w:type="spellEnd"/>
      <w:r>
        <w:rPr>
          <w:rFonts w:ascii="Arial" w:hAnsi="Arial" w:cs="Arial"/>
          <w:color w:val="000000"/>
        </w:rPr>
        <w:t xml:space="preserve">, </w:t>
      </w:r>
      <w:proofErr w:type="spellStart"/>
      <w:r>
        <w:rPr>
          <w:rFonts w:ascii="Arial" w:hAnsi="Arial" w:cs="Arial"/>
          <w:color w:val="000000"/>
        </w:rPr>
        <w:t>LsIV</w:t>
      </w:r>
      <w:proofErr w:type="spellEnd"/>
      <w:r>
        <w:rPr>
          <w:rFonts w:ascii="Arial" w:hAnsi="Arial" w:cs="Arial"/>
          <w:color w:val="000000"/>
        </w:rPr>
        <w:t xml:space="preserve">, </w:t>
      </w:r>
      <w:proofErr w:type="spellStart"/>
      <w:r>
        <w:rPr>
          <w:rFonts w:ascii="Arial" w:hAnsi="Arial" w:cs="Arial"/>
          <w:color w:val="000000"/>
        </w:rPr>
        <w:t>LsV</w:t>
      </w:r>
      <w:proofErr w:type="spellEnd"/>
      <w:r>
        <w:rPr>
          <w:rFonts w:ascii="Arial" w:hAnsi="Arial" w:cs="Arial"/>
          <w:color w:val="000000"/>
        </w:rPr>
        <w:t>), sady (S-</w:t>
      </w:r>
      <w:proofErr w:type="spellStart"/>
      <w:r>
        <w:rPr>
          <w:rFonts w:ascii="Arial" w:hAnsi="Arial" w:cs="Arial"/>
          <w:color w:val="000000"/>
        </w:rPr>
        <w:t>RIVb</w:t>
      </w:r>
      <w:proofErr w:type="spellEnd"/>
      <w:r>
        <w:rPr>
          <w:rFonts w:ascii="Arial" w:hAnsi="Arial" w:cs="Arial"/>
          <w:color w:val="000000"/>
        </w:rPr>
        <w:t xml:space="preserve">), tereny przemysłowe (Ba). Przez teren działek inwestycyjnych przechodzi dwutorowa napowietrzna linia wysokiego napięcia. Bezpośrednie sąsiedztwo terenu działek inwestycyjnych stanowią działki drogowe, pojedyncza zabudowa mieszkaniowa, łąki, pastwiska, rowy, kompleksy leśne oraz nieużytki. Z przedłożonej dokumentacji wynika, że </w:t>
      </w:r>
      <w:r>
        <w:rPr>
          <w:rFonts w:ascii="Arial" w:hAnsi="Arial" w:cs="Arial"/>
          <w:color w:val="000000"/>
        </w:rPr>
        <w:br/>
        <w:t xml:space="preserve">w granicach działek inwestycyjnych znajdują się oczka wodne, rowy w sąsiedztwie łąk </w:t>
      </w:r>
      <w:r>
        <w:rPr>
          <w:rFonts w:ascii="Arial" w:hAnsi="Arial" w:cs="Arial"/>
          <w:color w:val="000000"/>
        </w:rPr>
        <w:br/>
        <w:t>i terenów zadrzewionych.</w:t>
      </w:r>
    </w:p>
    <w:p w:rsidR="004D36D3" w:rsidRDefault="00000000">
      <w:pPr>
        <w:pStyle w:val="Standard"/>
        <w:spacing w:after="0"/>
        <w:ind w:firstLine="709"/>
      </w:pPr>
      <w:r>
        <w:rPr>
          <w:rFonts w:ascii="Arial" w:hAnsi="Arial" w:cs="Arial"/>
        </w:rPr>
        <w:t xml:space="preserve">Teren działek inwestycyjnych objęty jest w części miejscowym planem zagospodarowania przestrzennego, zatwierdzonym przez Radę Miejską w Polanowie uchwałą nr XXXVIII/198/17 z dnia 26 kwietnia 2017 r. w sprawie miejscowego planu zagospodarowania przestrzennego odcinka trasy napowietrznej dwutorowej linii elektroenergetycznej 2 x 400 + 2 x 110 </w:t>
      </w:r>
      <w:proofErr w:type="spellStart"/>
      <w:r>
        <w:rPr>
          <w:rFonts w:ascii="Arial" w:hAnsi="Arial" w:cs="Arial"/>
        </w:rPr>
        <w:t>kV</w:t>
      </w:r>
      <w:proofErr w:type="spellEnd"/>
      <w:r>
        <w:rPr>
          <w:rFonts w:ascii="Arial" w:hAnsi="Arial" w:cs="Arial"/>
        </w:rPr>
        <w:t xml:space="preserve"> Żydowo – Żydowo Kierzkowo na terenie gminy Polanów oraz w części miejscowym planem zagospodarowania przestrzennego zatwierdzonym przez Radę Miejską w Polanowie uchwałą nr XVI/78/2015 z dnia 30.12.2015 r. oraz uchwałą nr VIII/28/15 z dnia 30.03.2015 r. w sprawie miejscowego planu zagospodarowania przestrzennego dla dwutorowej napowietrznej linii elektroenergetycznej 400 </w:t>
      </w:r>
      <w:proofErr w:type="spellStart"/>
      <w:r>
        <w:rPr>
          <w:rFonts w:ascii="Arial" w:hAnsi="Arial" w:cs="Arial"/>
        </w:rPr>
        <w:t>kV</w:t>
      </w:r>
      <w:proofErr w:type="spellEnd"/>
      <w:r>
        <w:rPr>
          <w:rFonts w:ascii="Arial" w:hAnsi="Arial" w:cs="Arial"/>
          <w:color w:val="000000"/>
        </w:rPr>
        <w:t xml:space="preserve"> </w:t>
      </w:r>
      <w:r>
        <w:rPr>
          <w:rFonts w:ascii="Arial" w:hAnsi="Arial" w:cs="Arial"/>
        </w:rPr>
        <w:t>Gdańsk Przyjaźń – Żydowo Kierzkowo na terenie gminy Polanów. Natomiast obszar objęty zakresem planowanych prac inwestycyjnych zlokalizowany jest na terenie nie objętym ww. aktami prawa miejscowego.</w:t>
      </w:r>
    </w:p>
    <w:p w:rsidR="004D36D3" w:rsidRDefault="00000000">
      <w:pPr>
        <w:pStyle w:val="Standard"/>
        <w:spacing w:after="0"/>
        <w:ind w:firstLine="709"/>
        <w:rPr>
          <w:rFonts w:ascii="Arial" w:hAnsi="Arial" w:cs="Arial"/>
          <w:color w:val="000000"/>
        </w:rPr>
      </w:pPr>
      <w:r>
        <w:rPr>
          <w:rFonts w:ascii="Arial" w:hAnsi="Arial" w:cs="Arial"/>
          <w:color w:val="000000"/>
        </w:rPr>
        <w:t>Na podstawie przedłożonej dokumentacji ustalono także, że teren działek inwestycyjnych usytuowany jest w sąsiedztwie rozproszonej zabudowy mieszkaniowej. Najbliższe tereny podlegające ochronie akustycznej, znajdujące się w sąsiedztwie terenu inwestycji, to: zabudowa zagrodowa (na dz. nr 198/2), zabudowa jednorodzinna (na dz. nr 176/10) i miejsce kultu religijnego (na dz. nr 177/4).</w:t>
      </w:r>
    </w:p>
    <w:p w:rsidR="004D36D3" w:rsidRDefault="00000000">
      <w:pPr>
        <w:pStyle w:val="Standard"/>
        <w:spacing w:after="0"/>
        <w:ind w:firstLine="709"/>
        <w:rPr>
          <w:rFonts w:ascii="Arial" w:hAnsi="Arial" w:cs="Arial"/>
          <w:color w:val="000000"/>
        </w:rPr>
      </w:pPr>
      <w:r>
        <w:rPr>
          <w:rFonts w:ascii="Arial" w:hAnsi="Arial" w:cs="Arial"/>
          <w:color w:val="000000"/>
        </w:rPr>
        <w:t xml:space="preserve">Teren inwestycyjny położony jest częściowo w granicach obszaru objętego europejską siecią Natura 2000, tj. specjalnego obszaru ochrony siedlisk „Dolina Grabowej”, wyznaczonego w celu: trwałej ochrony: a) siedlisk przyrodniczych, b) populacji zagrożonych wyginięciem gatunków zwierząt innych niż ptaki lub odtworzenia właściwego stanu ochrony siedlisk przyrodniczych lub właściwego stanu ochrony gatunków, o których mowa powyżej – w stosunku do przedmiotów ochrony. Dla przedmiotowego obszaru obowiązuje zarządzenie Ministra Klimatu i Środowiska z dnia 14 października 2021 r. w sprawie specjalnego obszaru ochrony siedlisk Dolina Grabowej (PLH320003) (Dz.U. z 2021 r., poz. 2206). Zgodnie z ww. rozporządzeniem przedmiotem ochrony w obszarze jest 15 siedlisk przyrodniczych o kodach: 3150, 3160, 3260, 6410, 6330, 6510, 7120, 7140, 7230, 9110, 9130, 9160, 9190, 91D0*, 91E0* oraz 6 gatunków zwierząt, tj. czerwończyk nieparek, głowacz </w:t>
      </w:r>
      <w:proofErr w:type="spellStart"/>
      <w:r>
        <w:rPr>
          <w:rFonts w:ascii="Arial" w:hAnsi="Arial" w:cs="Arial"/>
          <w:color w:val="000000"/>
        </w:rPr>
        <w:t>białopłetwy</w:t>
      </w:r>
      <w:proofErr w:type="spellEnd"/>
      <w:r>
        <w:rPr>
          <w:rFonts w:ascii="Arial" w:hAnsi="Arial" w:cs="Arial"/>
          <w:color w:val="000000"/>
        </w:rPr>
        <w:t xml:space="preserve">, </w:t>
      </w:r>
      <w:r>
        <w:rPr>
          <w:rFonts w:ascii="Arial" w:hAnsi="Arial" w:cs="Arial"/>
          <w:color w:val="000000"/>
        </w:rPr>
        <w:lastRenderedPageBreak/>
        <w:t>kumak nizinny, minóg strumieniowy, traszka grzebieniasta i wydra. Przywołany obszar Natura 2000 nie posiada planu zadań ochronnych, natomiast obwieszczeniem Regionalnego Dyrektora Ochrony Środowiska w Szczecinie z dnia 20 lipca 2023 r., przyjęto tymczasowe cele ochrony dla siedlisk przyrodniczych oraz gatunków i ich siedlisk będących przedmiotami ochrony w tym obszarze, mające zapewnić warunki utrzymania i odtworzenia ich właściwego stanu ochrony. Z inwentaryzacji przyrodniczej wykonanej na potrzeby sporządzania planu zadań ochrony dla tego obszaru wynika, że w granicach działki nr 178/2 objętej niniejszym wnioskiem występują siedliska przyrodniczego o kodzie 7140 - torfowiska przejściowe i trzęsawiska (5 płatów w granicach obszaru zainwestowania), 91DO* - bory i lasy bagienne, 3160 – naturalne i dystroficzne zbiorniki wodne.</w:t>
      </w:r>
    </w:p>
    <w:p w:rsidR="004D36D3" w:rsidRDefault="00000000">
      <w:pPr>
        <w:autoSpaceDE w:val="0"/>
        <w:spacing w:line="276" w:lineRule="auto"/>
        <w:ind w:firstLine="709"/>
        <w:textAlignment w:val="auto"/>
        <w:rPr>
          <w:rFonts w:ascii="Arial" w:hAnsi="Arial" w:cs="Arial"/>
        </w:rPr>
      </w:pPr>
      <w:r>
        <w:rPr>
          <w:rFonts w:ascii="Arial" w:hAnsi="Arial" w:cs="Arial"/>
        </w:rPr>
        <w:t>Działki inwestycyjne znajdują się w granicach korytarza ekologicznego pn.: „Puszcza</w:t>
      </w:r>
    </w:p>
    <w:p w:rsidR="004D36D3" w:rsidRDefault="00000000">
      <w:pPr>
        <w:autoSpaceDE w:val="0"/>
        <w:spacing w:line="276" w:lineRule="auto"/>
        <w:ind w:firstLine="0"/>
        <w:textAlignment w:val="auto"/>
        <w:rPr>
          <w:rFonts w:ascii="Arial" w:hAnsi="Arial" w:cs="Arial"/>
        </w:rPr>
      </w:pPr>
      <w:r>
        <w:rPr>
          <w:rFonts w:ascii="Arial" w:hAnsi="Arial" w:cs="Arial"/>
        </w:rPr>
        <w:t xml:space="preserve">Koszalińska”. Korytarze ekologiczne są to liniowe pasy lasów, terenów porośniętych </w:t>
      </w:r>
      <w:r>
        <w:rPr>
          <w:rFonts w:ascii="Arial" w:hAnsi="Arial" w:cs="Arial"/>
        </w:rPr>
        <w:br/>
        <w:t xml:space="preserve">krzewami lub trawami umożliwiające zwierzętom przemieszczanie się oraz dające </w:t>
      </w:r>
      <w:r>
        <w:rPr>
          <w:rFonts w:ascii="Arial" w:hAnsi="Arial" w:cs="Arial"/>
        </w:rPr>
        <w:br/>
        <w:t xml:space="preserve">schronienie i dostęp do pożywienia. Istnienie tych terenów warunkuje prawidłowy rozwój </w:t>
      </w:r>
      <w:r>
        <w:rPr>
          <w:rFonts w:ascii="Arial" w:hAnsi="Arial" w:cs="Arial"/>
        </w:rPr>
        <w:br/>
        <w:t xml:space="preserve">gatunków, umożliwia znalezienie terytorium, ułatwia ucieczkę przed drapieżnikami. Co prawda przedłożona inwentaryzacja przyrodnicza wykazała ślady bytowania na obszarze </w:t>
      </w:r>
      <w:r>
        <w:rPr>
          <w:rFonts w:ascii="Arial" w:hAnsi="Arial" w:cs="Arial"/>
        </w:rPr>
        <w:br/>
        <w:t xml:space="preserve">inwestycji 8 gatunków ssaków, takich jak: dzik, sarna, lis, nornik zwyczajny, mysz domowa, wiewiórka pospolita, karlik większy, mroczek późny, niemniej jednak należy podkreślić, iż </w:t>
      </w:r>
      <w:r>
        <w:rPr>
          <w:rFonts w:ascii="Arial" w:hAnsi="Arial" w:cs="Arial"/>
        </w:rPr>
        <w:br/>
        <w:t>migracja dużych zwierząt zachodzi przede wszystkim w obrębie kompleksów leśnych oraz wzdłuż cieków wodnych.</w:t>
      </w:r>
    </w:p>
    <w:p w:rsidR="004D36D3" w:rsidRDefault="00000000">
      <w:pPr>
        <w:pStyle w:val="Standard"/>
        <w:spacing w:after="0"/>
        <w:ind w:firstLine="708"/>
        <w:rPr>
          <w:rFonts w:ascii="Arial" w:hAnsi="Arial" w:cs="Arial"/>
        </w:rPr>
      </w:pPr>
      <w:r>
        <w:rPr>
          <w:rFonts w:ascii="Arial" w:hAnsi="Arial" w:cs="Arial"/>
        </w:rPr>
        <w:t>Przedmiotowe przedsięwzięcie zlokalizowane jest w obszarze:</w:t>
      </w:r>
    </w:p>
    <w:p w:rsidR="004D36D3" w:rsidRDefault="00000000">
      <w:pPr>
        <w:pStyle w:val="Standard"/>
        <w:spacing w:after="0"/>
        <w:ind w:firstLine="0"/>
        <w:rPr>
          <w:rFonts w:ascii="Arial" w:hAnsi="Arial" w:cs="Arial"/>
        </w:rPr>
      </w:pPr>
      <w:r>
        <w:rPr>
          <w:rFonts w:ascii="Arial" w:hAnsi="Arial" w:cs="Arial"/>
        </w:rPr>
        <w:t xml:space="preserve">- jednolitej części wód podziemnych </w:t>
      </w:r>
      <w:proofErr w:type="spellStart"/>
      <w:r>
        <w:rPr>
          <w:rFonts w:ascii="Arial" w:hAnsi="Arial" w:cs="Arial"/>
        </w:rPr>
        <w:t>JCWPd</w:t>
      </w:r>
      <w:proofErr w:type="spellEnd"/>
      <w:r>
        <w:rPr>
          <w:rFonts w:ascii="Arial" w:hAnsi="Arial" w:cs="Arial"/>
        </w:rPr>
        <w:t xml:space="preserve"> o kodzie GW60009, która charakteryzuje się dobrym stanem chemicznym i słabym stanem ilościowym i nie jest ona zagrożona ryzykiem nieosiągnięcia celów środowiskowych, określonych jako utrzymanie dobrego stanu chemicznego i dobrego stanu ilościowego;</w:t>
      </w:r>
    </w:p>
    <w:p w:rsidR="004D36D3" w:rsidRDefault="00000000">
      <w:pPr>
        <w:pStyle w:val="Standard"/>
        <w:spacing w:after="0"/>
        <w:ind w:firstLine="0"/>
        <w:rPr>
          <w:rFonts w:ascii="Arial" w:hAnsi="Arial" w:cs="Arial"/>
        </w:rPr>
      </w:pPr>
      <w:r>
        <w:rPr>
          <w:rFonts w:ascii="Arial" w:hAnsi="Arial" w:cs="Arial"/>
        </w:rPr>
        <w:t xml:space="preserve">- jednolitej części wód podziemnych </w:t>
      </w:r>
      <w:proofErr w:type="spellStart"/>
      <w:r>
        <w:rPr>
          <w:rFonts w:ascii="Arial" w:hAnsi="Arial" w:cs="Arial"/>
        </w:rPr>
        <w:t>JCWPd</w:t>
      </w:r>
      <w:proofErr w:type="spellEnd"/>
      <w:r>
        <w:rPr>
          <w:rFonts w:ascii="Arial" w:hAnsi="Arial" w:cs="Arial"/>
        </w:rPr>
        <w:t xml:space="preserve"> GW60010, która charakteryzuje się dobrym stanem chemicznym i ilościowym i nie jest ona zagrożona ryzykiem nieosiągnięcia celów środowiskowych, określonych jako utrzymanie dobrego stanu chemicznego i dobrego stanu ilościowego;</w:t>
      </w:r>
    </w:p>
    <w:p w:rsidR="004D36D3" w:rsidRDefault="00000000">
      <w:pPr>
        <w:pStyle w:val="Standard"/>
        <w:spacing w:after="0"/>
        <w:ind w:firstLine="0"/>
        <w:rPr>
          <w:rFonts w:ascii="Arial" w:hAnsi="Arial" w:cs="Arial"/>
        </w:rPr>
      </w:pPr>
      <w:r>
        <w:rPr>
          <w:rFonts w:ascii="Arial" w:hAnsi="Arial" w:cs="Arial"/>
        </w:rPr>
        <w:t xml:space="preserve">- jednolitej części wód powierzchniowych (JCWP) </w:t>
      </w:r>
      <w:proofErr w:type="spellStart"/>
      <w:r>
        <w:rPr>
          <w:rFonts w:ascii="Arial" w:hAnsi="Arial" w:cs="Arial"/>
        </w:rPr>
        <w:t>Radew</w:t>
      </w:r>
      <w:proofErr w:type="spellEnd"/>
      <w:r>
        <w:rPr>
          <w:rFonts w:ascii="Arial" w:hAnsi="Arial" w:cs="Arial"/>
        </w:rPr>
        <w:t xml:space="preserve"> do </w:t>
      </w:r>
      <w:proofErr w:type="spellStart"/>
      <w:r>
        <w:rPr>
          <w:rFonts w:ascii="Arial" w:hAnsi="Arial" w:cs="Arial"/>
        </w:rPr>
        <w:t>Chocieli</w:t>
      </w:r>
      <w:proofErr w:type="spellEnd"/>
      <w:r>
        <w:rPr>
          <w:rFonts w:ascii="Arial" w:hAnsi="Arial" w:cs="Arial"/>
        </w:rPr>
        <w:t xml:space="preserve"> z jez. </w:t>
      </w:r>
      <w:proofErr w:type="spellStart"/>
      <w:r>
        <w:rPr>
          <w:rFonts w:ascii="Arial" w:hAnsi="Arial" w:cs="Arial"/>
        </w:rPr>
        <w:t>Kwiecko</w:t>
      </w:r>
      <w:proofErr w:type="spellEnd"/>
      <w:r>
        <w:rPr>
          <w:rFonts w:ascii="Arial" w:hAnsi="Arial" w:cs="Arial"/>
        </w:rPr>
        <w:t xml:space="preserve"> o kodzie RW 60001844829. JCWP charakteryzuje </w:t>
      </w:r>
      <w:proofErr w:type="gramStart"/>
      <w:r>
        <w:rPr>
          <w:rFonts w:ascii="Arial" w:hAnsi="Arial" w:cs="Arial"/>
        </w:rPr>
        <w:t>się  silnie</w:t>
      </w:r>
      <w:proofErr w:type="gramEnd"/>
      <w:r>
        <w:rPr>
          <w:rFonts w:ascii="Arial" w:hAnsi="Arial" w:cs="Arial"/>
        </w:rPr>
        <w:t xml:space="preserv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w:t>
      </w:r>
    </w:p>
    <w:p w:rsidR="004D36D3" w:rsidRDefault="00000000">
      <w:pPr>
        <w:pStyle w:val="Standard"/>
        <w:spacing w:after="0"/>
        <w:ind w:firstLine="0"/>
        <w:rPr>
          <w:rFonts w:ascii="Arial" w:hAnsi="Arial" w:cs="Arial"/>
        </w:rPr>
      </w:pPr>
      <w:r>
        <w:rPr>
          <w:rFonts w:ascii="Arial" w:hAnsi="Arial" w:cs="Arial"/>
        </w:rPr>
        <w:t xml:space="preserve">- jednolitej części wód powierzchniowych (JCWP) Grabowa do </w:t>
      </w:r>
      <w:proofErr w:type="spellStart"/>
      <w:r>
        <w:rPr>
          <w:rFonts w:ascii="Arial" w:hAnsi="Arial" w:cs="Arial"/>
        </w:rPr>
        <w:t>Wielinki</w:t>
      </w:r>
      <w:proofErr w:type="spellEnd"/>
      <w:r>
        <w:rPr>
          <w:rFonts w:ascii="Arial" w:hAnsi="Arial" w:cs="Arial"/>
        </w:rPr>
        <w:t xml:space="preserve"> o kodzie RW RW6000174682. JCWP charakteryzuje się silnie zmienioną częścią wód o umiarkowanym potencjale ekologicznym oraz stanem chemicznym określonym jako poniżej stanu dobrego. Stan ogólny został określony jako zły, a ryzyko nieosiągnięcia celów środowiskowych jest zagrożone. Celami środowiskowymi dla ww. JCWP są: osiągnięcie dobrego potencjału ekologicznego i dobrego stanu chemicznego.</w:t>
      </w:r>
    </w:p>
    <w:p w:rsidR="004D36D3" w:rsidRDefault="00000000">
      <w:pPr>
        <w:pStyle w:val="Akapitzlist"/>
        <w:spacing w:after="0"/>
        <w:ind w:left="0" w:firstLine="708"/>
        <w:rPr>
          <w:rFonts w:ascii="Arial" w:eastAsia="Times New Roman" w:hAnsi="Arial" w:cs="Arial"/>
          <w:color w:val="000000"/>
          <w:lang w:eastAsia="pl-PL"/>
        </w:rPr>
      </w:pPr>
      <w:r>
        <w:rPr>
          <w:rFonts w:ascii="Arial" w:eastAsia="Times New Roman" w:hAnsi="Arial" w:cs="Arial"/>
          <w:color w:val="000000"/>
          <w:lang w:eastAsia="pl-PL"/>
        </w:rPr>
        <w:t>Teren, na którym planowane jest przedsięwzięcie zlokalizowany jest w bezpośrednim sąsiedztwie istniejących i planowanych zabudowań mieszkalnych jednorodzinnych oraz zagrodowych. Obiekty te pełnią funkcję stałego zamieszkania, w wielu przypadkach związane są także z prowadzeniem działalności rolniczej i hodowlanej. Bliskość planowanej inwestycji może prowadzić do występowania uciążliwości, takich jak wzmożony hałas (zarówno w fazie realizacji, jak i eksploatacji), emisja zanieczyszczeń powietrza oraz potencjalne zmiany w mikroklimacie. Te czynniki mogą bezpośrednio wpływać na pogorszenie jakości życia mieszkańców, a także negatywnie oddziaływać na warunki bytowania zwierząt.</w:t>
      </w:r>
    </w:p>
    <w:p w:rsidR="004D36D3" w:rsidRDefault="00000000">
      <w:pPr>
        <w:pStyle w:val="Akapitzlist"/>
        <w:spacing w:after="0"/>
        <w:ind w:left="0" w:firstLine="708"/>
      </w:pPr>
      <w:r>
        <w:rPr>
          <w:rFonts w:ascii="Arial" w:eastAsia="Times New Roman" w:hAnsi="Arial" w:cs="Arial"/>
          <w:color w:val="000000"/>
          <w:lang w:eastAsia="pl-PL"/>
        </w:rPr>
        <w:lastRenderedPageBreak/>
        <w:t xml:space="preserve">Ponadto należy zauważyć, iż teren obrębu ewidencyjnego Żydowo, gm. Polanów, z uwagi na obecność GPZ, stał się obszarem silnie nasyconym inwestycjami z zakresu odnawialnych źródeł energii, w szczególności farm fotowoltaicznych o dużej skali oraz magazynów energii. Tego typu koncentracja infrastruktury energetycznej powoduje szereg negatywnych konsekwencji środowiskowych oraz społecznych, mając na uwadze, iż lokalizacja planowanych farm </w:t>
      </w:r>
      <w:r>
        <w:rPr>
          <w:rFonts w:ascii="Arial" w:hAnsi="Arial" w:cs="Arial"/>
        </w:rPr>
        <w:t>na stosunkowo ograniczonym terenie może prowadzić do nadmiernej antropopresji, która może skutkować trwałymi zmianami w lokalnym ekosystemie.</w:t>
      </w:r>
    </w:p>
    <w:p w:rsidR="004D36D3" w:rsidRDefault="00000000">
      <w:pPr>
        <w:pStyle w:val="Akapitzlist"/>
        <w:spacing w:after="0"/>
        <w:ind w:left="0" w:firstLine="708"/>
      </w:pPr>
      <w:r>
        <w:rPr>
          <w:rFonts w:ascii="Arial" w:hAnsi="Arial" w:cs="Arial"/>
        </w:rPr>
        <w:t xml:space="preserve">Należy również wskazać na kumulatywny wpływ istniejących i planowanych farm fotowoltaicznych na krajobraz. Dominacja paneli słonecznych na dużych powierzchniach powoduje trwałą degradację estetyczną przestrzeni, co stoi w sprzeczności z zasadą zrównoważonego rozwoju i może prowadzić do pogorszenia walorów krajobrazowych tego obszaru. Warto podkreślić, że teren ten charakteryzuje się dotychczas rolniczym lub półnaturalnym charakterem, którego przekształcenie w przemysłowy krajobraz energetyczny wywołuje znaczące zmiany percepcji przestrzeni i ogranicza jej funkcje przyrodnicze i społeczne. </w:t>
      </w:r>
    </w:p>
    <w:p w:rsidR="004D36D3" w:rsidRDefault="00000000">
      <w:pPr>
        <w:pStyle w:val="Akapitzlist"/>
        <w:spacing w:after="0"/>
        <w:ind w:left="0" w:firstLine="708"/>
        <w:rPr>
          <w:rFonts w:ascii="Arial" w:hAnsi="Arial" w:cs="Arial"/>
        </w:rPr>
      </w:pPr>
      <w:r>
        <w:rPr>
          <w:rFonts w:ascii="Arial" w:hAnsi="Arial" w:cs="Arial"/>
        </w:rPr>
        <w:t>Lokalizacja farm fotowoltaicznych w bezpośrednim sąsiedztwie zabudowań może prowadzić do potencjalnych zagrożeń dla zdrowia mieszkańców, szczególnie w kontekście oddziaływań elektroenergetycznych oraz hałasu generowanego przez urządzenia pomocnicze (inwertery, stacje transformatorowe). Chociaż pojedyncze instalacje mogą nie przekraczać dopuszczalnych norm, to w skali całego obszaru, przy znacznej koncentracji urządzeń, należy brać pod uwagę skumulowany wpływ na środowisko i zdrowie ludzi. W tym kontekście zasadne jest stosowanie szczególnej ostrożności oraz stosowanie zasady przezorności wynikającej z przepisów prawa ochrony środowiska.</w:t>
      </w:r>
    </w:p>
    <w:p w:rsidR="004D36D3" w:rsidRDefault="00000000">
      <w:pPr>
        <w:pStyle w:val="Akapitzlist"/>
        <w:spacing w:after="0"/>
        <w:ind w:left="0" w:firstLine="708"/>
        <w:rPr>
          <w:rFonts w:ascii="Arial" w:hAnsi="Arial" w:cs="Arial"/>
        </w:rPr>
      </w:pPr>
      <w:r>
        <w:rPr>
          <w:rFonts w:ascii="Arial" w:hAnsi="Arial" w:cs="Arial"/>
        </w:rPr>
        <w:t xml:space="preserve">Nie bez znaczenia pozostaje również fakt, że obszar ten jest już znacząco obciążony inwestycjami tego typu, co wywołuje narastające niezadowolenie społeczne oraz poczucie degradacji przestrzeni życia lokalnej społeczności. Wobec powyższego, dalsza intensyfikacja tego rodzaju zabudowy mogłaby pogłębić konflikty społeczne oraz prowadzić do nieodwracalnych zmian w strukturze krajobrazowej i funkcjonalnej regionu.  </w:t>
      </w:r>
    </w:p>
    <w:p w:rsidR="004D36D3" w:rsidRDefault="00000000">
      <w:pPr>
        <w:pStyle w:val="Akapitzlist"/>
        <w:spacing w:after="0"/>
        <w:ind w:left="0" w:firstLine="708"/>
        <w:rPr>
          <w:rFonts w:ascii="Arial" w:hAnsi="Arial" w:cs="Arial"/>
        </w:rPr>
      </w:pPr>
      <w:r>
        <w:rPr>
          <w:rFonts w:ascii="Arial" w:hAnsi="Arial" w:cs="Arial"/>
        </w:rPr>
        <w:t>W związku z powyższym, biorąc pod uwagę obowiązek ochrony zdrowia publicznego, środowiska oraz zachowania zasad zrównoważonego rozwoju, organ uznał, że realizacja przedsięwzięcia w proponowanej lokalizacji nie jest możliwa bez narażenia istotnych wartości środowiskowych i społecznych.</w:t>
      </w:r>
    </w:p>
    <w:p w:rsidR="004D36D3" w:rsidRDefault="00000000">
      <w:pPr>
        <w:pStyle w:val="Akapitzlist"/>
        <w:spacing w:after="0"/>
        <w:ind w:left="0" w:firstLine="708"/>
      </w:pPr>
      <w:r>
        <w:rPr>
          <w:rStyle w:val="alb"/>
          <w:rFonts w:ascii="Arial" w:hAnsi="Arial" w:cs="Arial"/>
        </w:rPr>
        <w:t xml:space="preserve">W myśl art. 79 ust. 1 ustawy </w:t>
      </w:r>
      <w:proofErr w:type="spellStart"/>
      <w:r>
        <w:rPr>
          <w:rStyle w:val="alb"/>
          <w:rFonts w:ascii="Arial" w:hAnsi="Arial" w:cs="Arial"/>
        </w:rPr>
        <w:t>ooś</w:t>
      </w:r>
      <w:proofErr w:type="spellEnd"/>
      <w:r>
        <w:rPr>
          <w:rStyle w:val="alb"/>
          <w:rFonts w:ascii="Arial" w:hAnsi="Arial" w:cs="Arial"/>
        </w:rPr>
        <w:t xml:space="preserve">, organ prowadzący postępowanie dwukrotnie zapewnił możliwość udziału społeczeństwa w postępowaniu, wskazując w obwieszczeniu Burmistrza Polanowa z dnia 20 lipca 2022 r znak: GNR.I.6220.3.2021.16 oraz w obwieszczeniu z dnia 17 lutego 2025 r, znak: GNR.I.6220.3.2021.41 miejsce i 30-dniowy termin składania uwag i wniosków. </w:t>
      </w:r>
    </w:p>
    <w:p w:rsidR="004D36D3" w:rsidRDefault="00000000">
      <w:pPr>
        <w:pStyle w:val="Akapitzlist"/>
        <w:spacing w:after="0"/>
        <w:ind w:left="0" w:firstLine="708"/>
      </w:pPr>
      <w:r>
        <w:rPr>
          <w:rFonts w:ascii="Arial" w:eastAsia="Times New Roman" w:hAnsi="Arial" w:cs="Arial"/>
          <w:color w:val="000000"/>
          <w:lang w:eastAsia="pl-PL"/>
        </w:rPr>
        <w:t xml:space="preserve">Zgodnie z art. 10 </w:t>
      </w:r>
      <w:r>
        <w:rPr>
          <w:rStyle w:val="alb"/>
          <w:rFonts w:ascii="Arial" w:hAnsi="Arial" w:cs="Arial"/>
          <w:color w:val="000000"/>
        </w:rPr>
        <w:t xml:space="preserve">§ 1 </w:t>
      </w:r>
      <w:proofErr w:type="spellStart"/>
      <w:r>
        <w:rPr>
          <w:rStyle w:val="alb"/>
          <w:rFonts w:ascii="Arial" w:hAnsi="Arial" w:cs="Arial"/>
          <w:color w:val="000000"/>
        </w:rPr>
        <w:t>k.p.a</w:t>
      </w:r>
      <w:proofErr w:type="spellEnd"/>
      <w:r>
        <w:rPr>
          <w:rStyle w:val="alb"/>
          <w:rFonts w:ascii="Arial" w:hAnsi="Arial" w:cs="Arial"/>
          <w:color w:val="000000"/>
        </w:rPr>
        <w:t xml:space="preserve">, przed wydaniem decyzji, Burmistrz </w:t>
      </w:r>
      <w:proofErr w:type="gramStart"/>
      <w:r>
        <w:rPr>
          <w:rStyle w:val="alb"/>
          <w:rFonts w:ascii="Arial" w:hAnsi="Arial" w:cs="Arial"/>
          <w:color w:val="000000"/>
        </w:rPr>
        <w:t>Polanowa  pismem</w:t>
      </w:r>
      <w:proofErr w:type="gramEnd"/>
      <w:r>
        <w:rPr>
          <w:rStyle w:val="alb"/>
          <w:rFonts w:ascii="Arial" w:hAnsi="Arial" w:cs="Arial"/>
          <w:color w:val="000000"/>
        </w:rPr>
        <w:t xml:space="preserve"> z dnia 08 kwietnia 2025 r. znak: GNR.I.6220.3.2021.42 poinformował strony o zakończeniu postępowania dowodowego oraz przysługującym prawie do wypowiedzenia się co do zebranych w sprawie dowodów i materiałów oraz zgłoszonych uwag, w terminie 7 dni od dnia doręczenia zawiadomienia. </w:t>
      </w:r>
      <w:r>
        <w:rPr>
          <w:rStyle w:val="alb"/>
          <w:rFonts w:ascii="Arial" w:hAnsi="Arial" w:cs="Arial"/>
        </w:rPr>
        <w:t xml:space="preserve">Z uwagi na fakt, iż liczba stron postępowania przekracza 10, zawiadomienia dokonano również w formie obwieszczenia przez udostępnienie go na tablicy ogłoszeń, na stronie Biuletynu Informacji Publicznej Urzędu Miejskiego w Polanowie oraz </w:t>
      </w:r>
      <w:r>
        <w:rPr>
          <w:rStyle w:val="alb"/>
          <w:rFonts w:ascii="Arial" w:hAnsi="Arial" w:cs="Arial"/>
        </w:rPr>
        <w:br/>
        <w:t>w sołectwie Żydowo.</w:t>
      </w:r>
    </w:p>
    <w:p w:rsidR="004D36D3" w:rsidRDefault="00000000">
      <w:pPr>
        <w:pStyle w:val="Standard"/>
        <w:spacing w:after="0"/>
        <w:rPr>
          <w:rFonts w:ascii="Arial" w:hAnsi="Arial" w:cs="Arial"/>
        </w:rPr>
      </w:pPr>
      <w:r>
        <w:rPr>
          <w:rFonts w:ascii="Arial" w:hAnsi="Arial" w:cs="Arial"/>
        </w:rPr>
        <w:t xml:space="preserve">W toku postępowania, ze względu na szczegółowy oraz jednoznaczny opis planowanej do zastosowania technologii oraz stosowanych środków, mających na celu zmniejszenie negatywnego oddziaływania inwestycji na środowisko, nie stwierdzono konieczności przeprowadzenia ponownej oceny oddziaływania przedsięwzięcia na </w:t>
      </w:r>
      <w:r>
        <w:rPr>
          <w:rFonts w:ascii="Arial" w:hAnsi="Arial" w:cs="Arial"/>
        </w:rPr>
        <w:lastRenderedPageBreak/>
        <w:t xml:space="preserve">środowisko, w ramach postępowania w sprawie wydania decyzji, o których mowa w art. 72 ust. 1 pkt 1 „ustawy </w:t>
      </w:r>
      <w:proofErr w:type="spellStart"/>
      <w:r>
        <w:rPr>
          <w:rFonts w:ascii="Arial" w:hAnsi="Arial" w:cs="Arial"/>
        </w:rPr>
        <w:t>ooś</w:t>
      </w:r>
      <w:proofErr w:type="spellEnd"/>
      <w:r>
        <w:rPr>
          <w:rFonts w:ascii="Arial" w:hAnsi="Arial" w:cs="Arial"/>
        </w:rPr>
        <w:t>”. Ze względu na lokalizację inwestycji w znacznym oddaleniu od granic państwa oraz przewidywany zasięg oddziaływania przedsięwzięcia nie wskazano na potrzebę przeprowadzenia postępowania w sprawie transgranicznego oddziaływania inwestycji na środowisko.</w:t>
      </w:r>
    </w:p>
    <w:p w:rsidR="004D36D3" w:rsidRDefault="00000000">
      <w:pPr>
        <w:pStyle w:val="Standard"/>
        <w:spacing w:before="240" w:after="240"/>
        <w:rPr>
          <w:rFonts w:ascii="Arial" w:hAnsi="Arial" w:cs="Arial"/>
          <w:b/>
          <w:color w:val="000000"/>
        </w:rPr>
      </w:pPr>
      <w:r>
        <w:rPr>
          <w:rFonts w:ascii="Arial" w:hAnsi="Arial" w:cs="Arial"/>
          <w:b/>
          <w:color w:val="000000"/>
        </w:rPr>
        <w:t>Mając na uwadze powyższe orzeczono, jak w sentencji decyzji.</w:t>
      </w:r>
    </w:p>
    <w:p w:rsidR="004D36D3" w:rsidRDefault="00000000">
      <w:pPr>
        <w:pStyle w:val="Standard"/>
        <w:tabs>
          <w:tab w:val="center" w:pos="7371"/>
        </w:tabs>
        <w:spacing w:before="600" w:after="240"/>
        <w:ind w:firstLine="0"/>
      </w:pPr>
      <w:r>
        <w:rPr>
          <w:rFonts w:ascii="Arial" w:hAnsi="Arial" w:cs="Arial"/>
          <w:b/>
          <w:color w:val="000000"/>
        </w:rPr>
        <w:tab/>
      </w:r>
      <w:r>
        <w:rPr>
          <w:rFonts w:ascii="Arial" w:hAnsi="Arial" w:cs="Arial"/>
          <w:bCs/>
          <w:color w:val="000000"/>
        </w:rPr>
        <w:t>Burmistrz Polanowa</w:t>
      </w:r>
    </w:p>
    <w:p w:rsidR="004D36D3" w:rsidRDefault="00000000">
      <w:pPr>
        <w:pStyle w:val="Standard"/>
        <w:tabs>
          <w:tab w:val="center" w:pos="7371"/>
        </w:tabs>
        <w:spacing w:before="240" w:after="240"/>
        <w:ind w:firstLine="0"/>
        <w:rPr>
          <w:rFonts w:ascii="Arial" w:hAnsi="Arial" w:cs="Arial"/>
          <w:bCs/>
          <w:color w:val="000000"/>
        </w:rPr>
      </w:pPr>
      <w:r>
        <w:rPr>
          <w:rFonts w:ascii="Arial" w:hAnsi="Arial" w:cs="Arial"/>
          <w:bCs/>
          <w:color w:val="000000"/>
        </w:rPr>
        <w:tab/>
        <w:t>Grzegorz Lipski</w:t>
      </w:r>
    </w:p>
    <w:p w:rsidR="004D36D3" w:rsidRDefault="00000000">
      <w:pPr>
        <w:pStyle w:val="Standard"/>
        <w:tabs>
          <w:tab w:val="center" w:pos="7513"/>
        </w:tabs>
        <w:spacing w:before="1200" w:after="0"/>
        <w:ind w:firstLine="0"/>
        <w:jc w:val="center"/>
      </w:pPr>
      <w:r>
        <w:rPr>
          <w:rFonts w:ascii="Arial" w:hAnsi="Arial" w:cs="Arial"/>
          <w:b/>
          <w:color w:val="000000"/>
          <w:sz w:val="18"/>
          <w:szCs w:val="18"/>
        </w:rPr>
        <w:t>POUCZENIE</w:t>
      </w:r>
    </w:p>
    <w:p w:rsidR="004D36D3" w:rsidRDefault="00000000">
      <w:pPr>
        <w:pStyle w:val="Akapitzlist"/>
        <w:numPr>
          <w:ilvl w:val="0"/>
          <w:numId w:val="20"/>
        </w:numPr>
        <w:spacing w:after="0"/>
        <w:rPr>
          <w:rFonts w:ascii="Arial" w:hAnsi="Arial" w:cs="Arial"/>
          <w:color w:val="000000"/>
          <w:sz w:val="18"/>
          <w:szCs w:val="18"/>
        </w:rPr>
      </w:pPr>
      <w:r>
        <w:rPr>
          <w:rFonts w:ascii="Arial" w:hAnsi="Arial" w:cs="Arial"/>
          <w:color w:val="000000"/>
          <w:sz w:val="18"/>
          <w:szCs w:val="18"/>
        </w:rPr>
        <w:t>Od wydanej decyzji służy stronie odwołanie do Samorządowego Kolegium Odwoławczego w Koszalinie, za pośrednictwem Burmistrza Polanow</w:t>
      </w:r>
      <w:r w:rsidR="004B0D9F">
        <w:rPr>
          <w:rFonts w:ascii="Arial" w:hAnsi="Arial" w:cs="Arial"/>
          <w:color w:val="000000"/>
          <w:sz w:val="18"/>
          <w:szCs w:val="18"/>
        </w:rPr>
        <w:t>a</w:t>
      </w:r>
      <w:r>
        <w:rPr>
          <w:rFonts w:ascii="Arial" w:hAnsi="Arial" w:cs="Arial"/>
          <w:color w:val="000000"/>
          <w:sz w:val="18"/>
          <w:szCs w:val="18"/>
        </w:rPr>
        <w:t>, w terminie 14 dni od dnia doręczenia decyzji.</w:t>
      </w:r>
    </w:p>
    <w:p w:rsidR="004D36D3" w:rsidRDefault="00000000">
      <w:pPr>
        <w:pStyle w:val="Textbody"/>
        <w:numPr>
          <w:ilvl w:val="0"/>
          <w:numId w:val="5"/>
        </w:numPr>
        <w:tabs>
          <w:tab w:val="left" w:pos="-31680"/>
        </w:tabs>
        <w:spacing w:line="276" w:lineRule="auto"/>
        <w:rPr>
          <w:rFonts w:ascii="Arial" w:hAnsi="Arial" w:cs="Arial"/>
          <w:b w:val="0"/>
          <w:color w:val="000000"/>
          <w:sz w:val="18"/>
          <w:szCs w:val="18"/>
        </w:rPr>
      </w:pPr>
      <w:r>
        <w:rPr>
          <w:rFonts w:ascii="Arial" w:hAnsi="Arial" w:cs="Arial"/>
          <w:b w:val="0"/>
          <w:color w:val="000000"/>
          <w:sz w:val="18"/>
          <w:szCs w:val="18"/>
        </w:rPr>
        <w:t>Stronie przysługuje możliwość zrzeczenia się odwołania, co skutkuje tym, że decyzja staje się decyzją prawomocną i ostateczną.</w:t>
      </w:r>
    </w:p>
    <w:p w:rsidR="004D36D3" w:rsidRDefault="004D36D3">
      <w:pPr>
        <w:pStyle w:val="Textbody"/>
        <w:tabs>
          <w:tab w:val="left" w:pos="-29094"/>
        </w:tabs>
        <w:spacing w:line="276" w:lineRule="auto"/>
        <w:ind w:left="720" w:firstLine="0"/>
        <w:rPr>
          <w:rFonts w:ascii="Arial" w:hAnsi="Arial" w:cs="Arial"/>
          <w:b w:val="0"/>
          <w:color w:val="000000"/>
          <w:sz w:val="18"/>
          <w:szCs w:val="18"/>
        </w:rPr>
      </w:pPr>
    </w:p>
    <w:p w:rsidR="004D36D3" w:rsidRDefault="00000000">
      <w:pPr>
        <w:ind w:left="360" w:firstLine="0"/>
      </w:pPr>
      <w:r>
        <w:rPr>
          <w:rStyle w:val="CharStyle44"/>
          <w:rFonts w:ascii="Arial" w:hAnsi="Arial" w:cs="Arial"/>
          <w:color w:val="000000"/>
        </w:rPr>
        <w:t xml:space="preserve">Oplata skarbowa w wysokości 205 zł wniesiona na konto Urzędu Miejskiego w Polanowie pobrana zgodnie </w:t>
      </w:r>
      <w:r>
        <w:rPr>
          <w:rStyle w:val="CharStyle44"/>
          <w:rFonts w:ascii="Arial" w:hAnsi="Arial" w:cs="Arial"/>
          <w:color w:val="000000"/>
        </w:rPr>
        <w:br/>
        <w:t>z częścią I ust. 45 załącznika do ustawy z dnia 16 listopada 2006r. o opłacie skarbowej (Dz. U. z 2023 r., poz. 2111).</w:t>
      </w:r>
    </w:p>
    <w:p w:rsidR="004D36D3" w:rsidRDefault="00000000">
      <w:pPr>
        <w:spacing w:before="5160" w:line="276" w:lineRule="auto"/>
        <w:ind w:firstLine="0"/>
        <w:rPr>
          <w:rFonts w:ascii="Arial" w:hAnsi="Arial" w:cs="Arial"/>
          <w:b/>
          <w:sz w:val="18"/>
          <w:szCs w:val="18"/>
        </w:rPr>
      </w:pPr>
      <w:bookmarkStart w:id="1" w:name="_Hlk173410750"/>
      <w:r>
        <w:rPr>
          <w:rFonts w:ascii="Arial" w:hAnsi="Arial" w:cs="Arial"/>
          <w:b/>
          <w:sz w:val="18"/>
          <w:szCs w:val="18"/>
        </w:rPr>
        <w:t>Otrzymują:</w:t>
      </w:r>
    </w:p>
    <w:p w:rsidR="004D36D3" w:rsidRDefault="00000000">
      <w:pPr>
        <w:pStyle w:val="Akapitzlist"/>
        <w:widowControl w:val="0"/>
        <w:numPr>
          <w:ilvl w:val="0"/>
          <w:numId w:val="3"/>
        </w:numPr>
        <w:suppressAutoHyphens w:val="0"/>
        <w:autoSpaceDE w:val="0"/>
        <w:spacing w:after="0"/>
        <w:jc w:val="both"/>
        <w:textAlignment w:val="auto"/>
      </w:pPr>
      <w:r>
        <w:rPr>
          <w:rFonts w:ascii="Arial" w:hAnsi="Arial" w:cs="Arial"/>
          <w:sz w:val="18"/>
          <w:szCs w:val="18"/>
        </w:rPr>
        <w:t>GRUPA ROZWOJU OZE 2 Sp. z o.o., ul. Jarzębinowa 7, 76-220 Główczyce</w:t>
      </w:r>
    </w:p>
    <w:p w:rsidR="004D36D3" w:rsidRDefault="00000000">
      <w:pPr>
        <w:pStyle w:val="Akapitzlist"/>
        <w:widowControl w:val="0"/>
        <w:numPr>
          <w:ilvl w:val="0"/>
          <w:numId w:val="3"/>
        </w:numPr>
        <w:spacing w:after="0"/>
        <w:ind w:left="777"/>
        <w:jc w:val="both"/>
        <w:rPr>
          <w:rFonts w:ascii="Arial" w:hAnsi="Arial" w:cs="Arial"/>
          <w:color w:val="000000"/>
          <w:sz w:val="18"/>
          <w:szCs w:val="18"/>
        </w:rPr>
      </w:pPr>
      <w:r>
        <w:rPr>
          <w:rFonts w:ascii="Arial" w:hAnsi="Arial" w:cs="Arial"/>
          <w:color w:val="000000"/>
          <w:sz w:val="18"/>
          <w:szCs w:val="18"/>
        </w:rPr>
        <w:t>a/a</w:t>
      </w:r>
    </w:p>
    <w:bookmarkEnd w:id="1"/>
    <w:p w:rsidR="004D36D3" w:rsidRDefault="00000000">
      <w:pPr>
        <w:pStyle w:val="Standard"/>
        <w:widowControl w:val="0"/>
        <w:spacing w:before="360" w:after="0"/>
        <w:ind w:firstLine="0"/>
        <w:jc w:val="both"/>
        <w:rPr>
          <w:rFonts w:ascii="Arial" w:hAnsi="Arial" w:cs="Arial"/>
          <w:b/>
          <w:color w:val="000000"/>
          <w:sz w:val="18"/>
          <w:szCs w:val="18"/>
        </w:rPr>
      </w:pPr>
      <w:r>
        <w:rPr>
          <w:rFonts w:ascii="Arial" w:hAnsi="Arial" w:cs="Arial"/>
          <w:b/>
          <w:color w:val="000000"/>
          <w:sz w:val="18"/>
          <w:szCs w:val="18"/>
        </w:rPr>
        <w:t xml:space="preserve">Do wiadomości: </w:t>
      </w:r>
    </w:p>
    <w:p w:rsidR="004D36D3" w:rsidRDefault="00000000">
      <w:pPr>
        <w:pStyle w:val="Akapitzlist"/>
        <w:numPr>
          <w:ilvl w:val="0"/>
          <w:numId w:val="21"/>
        </w:numPr>
        <w:spacing w:after="0"/>
        <w:jc w:val="both"/>
        <w:rPr>
          <w:rFonts w:ascii="Arial" w:hAnsi="Arial" w:cs="Arial"/>
          <w:color w:val="000000"/>
          <w:sz w:val="18"/>
          <w:szCs w:val="18"/>
        </w:rPr>
      </w:pPr>
      <w:r>
        <w:rPr>
          <w:rFonts w:ascii="Arial" w:hAnsi="Arial" w:cs="Arial"/>
          <w:color w:val="000000"/>
          <w:sz w:val="18"/>
          <w:szCs w:val="18"/>
        </w:rPr>
        <w:t>Regionalna Dyrekcja Ochrony Środowiska w Szczecinie, Wydział Spraw Terenowych w Koszalinie, ul. Mieszka I 24, 75-132 Koszalin</w:t>
      </w:r>
    </w:p>
    <w:p w:rsidR="004D36D3" w:rsidRDefault="00000000">
      <w:pPr>
        <w:pStyle w:val="Akapitzlist"/>
        <w:numPr>
          <w:ilvl w:val="0"/>
          <w:numId w:val="6"/>
        </w:numPr>
        <w:spacing w:after="0"/>
        <w:jc w:val="both"/>
        <w:rPr>
          <w:rFonts w:ascii="Arial" w:hAnsi="Arial" w:cs="Arial"/>
          <w:color w:val="000000"/>
          <w:sz w:val="18"/>
          <w:szCs w:val="18"/>
        </w:rPr>
      </w:pPr>
      <w:r>
        <w:rPr>
          <w:rFonts w:ascii="Arial" w:hAnsi="Arial" w:cs="Arial"/>
          <w:color w:val="000000"/>
          <w:sz w:val="18"/>
          <w:szCs w:val="18"/>
        </w:rPr>
        <w:t>Państwowy Powiatowy Inspektor Sanitarny w Koszalinie, ul. Zwycięstwa 136, 75-613 Koszalin</w:t>
      </w:r>
    </w:p>
    <w:p w:rsidR="004D36D3" w:rsidRDefault="00000000">
      <w:pPr>
        <w:pStyle w:val="Akapitzlist"/>
        <w:widowControl w:val="0"/>
        <w:numPr>
          <w:ilvl w:val="0"/>
          <w:numId w:val="6"/>
        </w:numPr>
        <w:spacing w:after="0"/>
      </w:pPr>
      <w:r>
        <w:rPr>
          <w:rFonts w:ascii="Arial" w:hAnsi="Arial" w:cs="Arial"/>
          <w:color w:val="000000"/>
          <w:sz w:val="18"/>
          <w:szCs w:val="18"/>
        </w:rPr>
        <w:t>Państwowe Gospodarstwo Wodne Wody Polskie, ZZ w Koszalinie, ul. Zwycięstwa 111, 75-601 Koszalin</w:t>
      </w:r>
    </w:p>
    <w:sectPr w:rsidR="004D36D3">
      <w:footerReference w:type="default" r:id="rId7"/>
      <w:pgSz w:w="11906" w:h="16838"/>
      <w:pgMar w:top="851" w:right="1417" w:bottom="1276" w:left="1417" w:header="708"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5458" w:rsidRDefault="00955458">
      <w:r>
        <w:separator/>
      </w:r>
    </w:p>
  </w:endnote>
  <w:endnote w:type="continuationSeparator" w:id="0">
    <w:p w:rsidR="00955458" w:rsidRDefault="0095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pStyle w:val="Stopka"/>
      <w:jc w:val="right"/>
    </w:pPr>
    <w:r>
      <w:t xml:space="preserve">Strona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13</w:t>
    </w:r>
    <w:r>
      <w:rPr>
        <w:b/>
        <w:sz w:val="24"/>
        <w:szCs w:val="24"/>
      </w:rPr>
      <w:fldChar w:fldCharType="end"/>
    </w:r>
    <w:r>
      <w:t xml:space="preserve"> z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13</w:t>
    </w:r>
    <w:r>
      <w:rPr>
        <w:b/>
        <w:sz w:val="24"/>
        <w:szCs w:val="24"/>
      </w:rPr>
      <w:fldChar w:fldCharType="end"/>
    </w:r>
  </w:p>
  <w:p w:rsidR="0000000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5458" w:rsidRDefault="00955458">
      <w:r>
        <w:rPr>
          <w:color w:val="000000"/>
        </w:rPr>
        <w:separator/>
      </w:r>
    </w:p>
  </w:footnote>
  <w:footnote w:type="continuationSeparator" w:id="0">
    <w:p w:rsidR="00955458" w:rsidRDefault="00955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812FD"/>
    <w:multiLevelType w:val="multilevel"/>
    <w:tmpl w:val="428411AA"/>
    <w:styleLink w:val="WWNum7"/>
    <w:lvl w:ilvl="0">
      <w:start w:val="10"/>
      <w:numFmt w:val="decimal"/>
      <w:lvlText w:val="%1."/>
      <w:lvlJc w:val="left"/>
      <w:rPr>
        <w:b w:val="0"/>
        <w:bCs w:val="0"/>
        <w:i w:val="0"/>
        <w:iCs w:val="0"/>
        <w:caps w:val="0"/>
        <w:smallCaps w:val="0"/>
        <w:strike w:val="0"/>
        <w:dstrike w:val="0"/>
        <w:color w:val="000000"/>
        <w:spacing w:val="0"/>
        <w:w w:val="100"/>
        <w:sz w:val="23"/>
        <w:szCs w:val="23"/>
        <w:u w:val="none"/>
      </w:rPr>
    </w:lvl>
    <w:lvl w:ilvl="1">
      <w:start w:val="10"/>
      <w:numFmt w:val="decimal"/>
      <w:lvlText w:val="%1.%2."/>
      <w:lvlJc w:val="left"/>
      <w:rPr>
        <w:b w:val="0"/>
        <w:bCs w:val="0"/>
        <w:i w:val="0"/>
        <w:iCs w:val="0"/>
        <w:caps w:val="0"/>
        <w:smallCaps w:val="0"/>
        <w:strike w:val="0"/>
        <w:dstrike w:val="0"/>
        <w:color w:val="000000"/>
        <w:spacing w:val="0"/>
        <w:w w:val="100"/>
        <w:sz w:val="23"/>
        <w:szCs w:val="23"/>
        <w:u w:val="none"/>
      </w:rPr>
    </w:lvl>
    <w:lvl w:ilvl="2">
      <w:start w:val="10"/>
      <w:numFmt w:val="decimal"/>
      <w:lvlText w:val="%1.%2.%3."/>
      <w:lvlJc w:val="left"/>
      <w:rPr>
        <w:b w:val="0"/>
        <w:bCs w:val="0"/>
        <w:i w:val="0"/>
        <w:iCs w:val="0"/>
        <w:caps w:val="0"/>
        <w:smallCaps w:val="0"/>
        <w:strike w:val="0"/>
        <w:dstrike w:val="0"/>
        <w:color w:val="000000"/>
        <w:spacing w:val="0"/>
        <w:w w:val="100"/>
        <w:sz w:val="23"/>
        <w:szCs w:val="23"/>
        <w:u w:val="none"/>
      </w:rPr>
    </w:lvl>
    <w:lvl w:ilvl="3">
      <w:start w:val="10"/>
      <w:numFmt w:val="decimal"/>
      <w:lvlText w:val="%1.%2.%3.%4."/>
      <w:lvlJc w:val="left"/>
      <w:rPr>
        <w:b w:val="0"/>
        <w:bCs w:val="0"/>
        <w:i w:val="0"/>
        <w:iCs w:val="0"/>
        <w:caps w:val="0"/>
        <w:smallCaps w:val="0"/>
        <w:strike w:val="0"/>
        <w:dstrike w:val="0"/>
        <w:color w:val="000000"/>
        <w:spacing w:val="0"/>
        <w:w w:val="100"/>
        <w:sz w:val="23"/>
        <w:szCs w:val="23"/>
        <w:u w:val="none"/>
      </w:rPr>
    </w:lvl>
    <w:lvl w:ilvl="4">
      <w:start w:val="10"/>
      <w:numFmt w:val="decimal"/>
      <w:lvlText w:val="%1.%2.%3.%4.%5."/>
      <w:lvlJc w:val="left"/>
      <w:rPr>
        <w:b w:val="0"/>
        <w:bCs w:val="0"/>
        <w:i w:val="0"/>
        <w:iCs w:val="0"/>
        <w:caps w:val="0"/>
        <w:smallCaps w:val="0"/>
        <w:strike w:val="0"/>
        <w:dstrike w:val="0"/>
        <w:color w:val="000000"/>
        <w:spacing w:val="0"/>
        <w:w w:val="100"/>
        <w:sz w:val="23"/>
        <w:szCs w:val="23"/>
        <w:u w:val="none"/>
      </w:rPr>
    </w:lvl>
    <w:lvl w:ilvl="5">
      <w:start w:val="10"/>
      <w:numFmt w:val="decimal"/>
      <w:lvlText w:val="%1.%2.%3.%4.%5.%6."/>
      <w:lvlJc w:val="left"/>
      <w:rPr>
        <w:b w:val="0"/>
        <w:bCs w:val="0"/>
        <w:i w:val="0"/>
        <w:iCs w:val="0"/>
        <w:caps w:val="0"/>
        <w:smallCaps w:val="0"/>
        <w:strike w:val="0"/>
        <w:dstrike w:val="0"/>
        <w:color w:val="000000"/>
        <w:spacing w:val="0"/>
        <w:w w:val="100"/>
        <w:sz w:val="23"/>
        <w:szCs w:val="23"/>
        <w:u w:val="none"/>
      </w:rPr>
    </w:lvl>
    <w:lvl w:ilvl="6">
      <w:start w:val="10"/>
      <w:numFmt w:val="decimal"/>
      <w:lvlText w:val="%1.%2.%3.%4.%5.%6.%7."/>
      <w:lvlJc w:val="left"/>
      <w:rPr>
        <w:b w:val="0"/>
        <w:bCs w:val="0"/>
        <w:i w:val="0"/>
        <w:iCs w:val="0"/>
        <w:caps w:val="0"/>
        <w:smallCaps w:val="0"/>
        <w:strike w:val="0"/>
        <w:dstrike w:val="0"/>
        <w:color w:val="000000"/>
        <w:spacing w:val="0"/>
        <w:w w:val="100"/>
        <w:sz w:val="23"/>
        <w:szCs w:val="23"/>
        <w:u w:val="none"/>
      </w:rPr>
    </w:lvl>
    <w:lvl w:ilvl="7">
      <w:start w:val="10"/>
      <w:numFmt w:val="decimal"/>
      <w:lvlText w:val="%1.%2.%3.%4.%5.%6.%7.%8."/>
      <w:lvlJc w:val="left"/>
      <w:rPr>
        <w:b w:val="0"/>
        <w:bCs w:val="0"/>
        <w:i w:val="0"/>
        <w:iCs w:val="0"/>
        <w:caps w:val="0"/>
        <w:smallCaps w:val="0"/>
        <w:strike w:val="0"/>
        <w:dstrike w:val="0"/>
        <w:color w:val="000000"/>
        <w:spacing w:val="0"/>
        <w:w w:val="100"/>
        <w:sz w:val="23"/>
        <w:szCs w:val="23"/>
        <w:u w:val="none"/>
      </w:rPr>
    </w:lvl>
    <w:lvl w:ilvl="8">
      <w:start w:val="10"/>
      <w:numFmt w:val="decimal"/>
      <w:lvlText w:val="%1.%2.%3.%4.%5.%6.%7.%8.%9."/>
      <w:lvlJc w:val="left"/>
      <w:rPr>
        <w:b w:val="0"/>
        <w:bCs w:val="0"/>
        <w:i w:val="0"/>
        <w:iCs w:val="0"/>
        <w:caps w:val="0"/>
        <w:smallCaps w:val="0"/>
        <w:strike w:val="0"/>
        <w:dstrike w:val="0"/>
        <w:color w:val="000000"/>
        <w:spacing w:val="0"/>
        <w:w w:val="100"/>
        <w:sz w:val="23"/>
        <w:szCs w:val="23"/>
        <w:u w:val="none"/>
      </w:rPr>
    </w:lvl>
  </w:abstractNum>
  <w:abstractNum w:abstractNumId="1" w15:restartNumberingAfterBreak="0">
    <w:nsid w:val="11965056"/>
    <w:multiLevelType w:val="multilevel"/>
    <w:tmpl w:val="88081A60"/>
    <w:styleLink w:val="WWNum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3629DD"/>
    <w:multiLevelType w:val="multilevel"/>
    <w:tmpl w:val="6406B37A"/>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6B15E3"/>
    <w:multiLevelType w:val="multilevel"/>
    <w:tmpl w:val="D298BD02"/>
    <w:styleLink w:val="WWNum15"/>
    <w:lvl w:ilvl="0">
      <w:start w:val="1"/>
      <w:numFmt w:val="decimal"/>
      <w:lvlText w:val="%1."/>
      <w:lvlJc w:val="left"/>
      <w:pPr>
        <w:ind w:left="720" w:hanging="360"/>
      </w:pPr>
      <w:rPr>
        <w:rFonts w:ascii="Arial" w:hAnsi="Arial"/>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1E7085"/>
    <w:multiLevelType w:val="multilevel"/>
    <w:tmpl w:val="C64CD204"/>
    <w:styleLink w:val="WWNum1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 w15:restartNumberingAfterBreak="0">
    <w:nsid w:val="26DA4557"/>
    <w:multiLevelType w:val="multilevel"/>
    <w:tmpl w:val="DF0ECB02"/>
    <w:styleLink w:val="WWNum12"/>
    <w:lvl w:ilvl="0">
      <w:start w:val="1"/>
      <w:numFmt w:val="decimal"/>
      <w:lvlText w:val="%1."/>
      <w:lvlJc w:val="left"/>
      <w:pPr>
        <w:ind w:left="720" w:hanging="360"/>
      </w:pPr>
      <w:rPr>
        <w:rFonts w:ascii="Arial" w:hAnsi="Arial"/>
        <w:b/>
        <w:bCs/>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C212784"/>
    <w:multiLevelType w:val="multilevel"/>
    <w:tmpl w:val="4D8ED916"/>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E3848BF"/>
    <w:multiLevelType w:val="multilevel"/>
    <w:tmpl w:val="1C54371E"/>
    <w:styleLink w:val="WWNum1"/>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9949A1"/>
    <w:multiLevelType w:val="multilevel"/>
    <w:tmpl w:val="B282C730"/>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7C1AD2"/>
    <w:multiLevelType w:val="multilevel"/>
    <w:tmpl w:val="6450CA24"/>
    <w:styleLink w:val="WWNum5"/>
    <w:lvl w:ilvl="0">
      <w:start w:val="1"/>
      <w:numFmt w:val="decimal"/>
      <w:lvlText w:val="%1."/>
      <w:lvlJc w:val="left"/>
      <w:pPr>
        <w:ind w:left="922" w:hanging="4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 w15:restartNumberingAfterBreak="0">
    <w:nsid w:val="35275DD3"/>
    <w:multiLevelType w:val="multilevel"/>
    <w:tmpl w:val="7BB091D2"/>
    <w:styleLink w:val="WWNum1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1" w15:restartNumberingAfterBreak="0">
    <w:nsid w:val="3AAF187D"/>
    <w:multiLevelType w:val="multilevel"/>
    <w:tmpl w:val="438CC476"/>
    <w:styleLink w:val="WWNum1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2" w15:restartNumberingAfterBreak="0">
    <w:nsid w:val="3ACD19DE"/>
    <w:multiLevelType w:val="multilevel"/>
    <w:tmpl w:val="3DB82BC4"/>
    <w:styleLink w:val="WWNum14"/>
    <w:lvl w:ilvl="0">
      <w:start w:val="1"/>
      <w:numFmt w:val="decimal"/>
      <w:lvlText w:val="%1."/>
      <w:lvlJc w:val="left"/>
      <w:pPr>
        <w:ind w:left="720" w:hanging="360"/>
      </w:pPr>
      <w:rPr>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6725C0"/>
    <w:multiLevelType w:val="multilevel"/>
    <w:tmpl w:val="FF5291B2"/>
    <w:styleLink w:val="WWNum2"/>
    <w:lvl w:ilvl="0">
      <w:start w:val="1"/>
      <w:numFmt w:val="decimal"/>
      <w:lvlText w:val="%1."/>
      <w:lvlJc w:val="left"/>
      <w:pPr>
        <w:ind w:left="780" w:hanging="420"/>
      </w:pPr>
      <w:rPr>
        <w:rFonts w:ascii="Arial" w:hAnsi="Arial" w:cs="Arial"/>
        <w:b/>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A6845AB"/>
    <w:multiLevelType w:val="multilevel"/>
    <w:tmpl w:val="0A76A8EC"/>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1FE3309"/>
    <w:multiLevelType w:val="multilevel"/>
    <w:tmpl w:val="1B96C69C"/>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15:restartNumberingAfterBreak="0">
    <w:nsid w:val="6730755B"/>
    <w:multiLevelType w:val="multilevel"/>
    <w:tmpl w:val="FBA44D44"/>
    <w:styleLink w:val="WWNum3"/>
    <w:lvl w:ilvl="0">
      <w:start w:val="1"/>
      <w:numFmt w:val="decimal"/>
      <w:lvlText w:val="%1."/>
      <w:lvlJc w:val="left"/>
      <w:pPr>
        <w:ind w:left="704" w:hanging="420"/>
      </w:pPr>
      <w:rPr>
        <w:b w:val="0"/>
        <w:sz w:val="22"/>
        <w:szCs w:val="22"/>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7" w15:restartNumberingAfterBreak="0">
    <w:nsid w:val="6EA745B5"/>
    <w:multiLevelType w:val="multilevel"/>
    <w:tmpl w:val="D6CA9386"/>
    <w:styleLink w:val="WWNum1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22F53E5"/>
    <w:multiLevelType w:val="multilevel"/>
    <w:tmpl w:val="677A0E7A"/>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98384321">
    <w:abstractNumId w:val="15"/>
  </w:num>
  <w:num w:numId="2" w16cid:durableId="1984894024">
    <w:abstractNumId w:val="7"/>
  </w:num>
  <w:num w:numId="3" w16cid:durableId="2129544162">
    <w:abstractNumId w:val="13"/>
  </w:num>
  <w:num w:numId="4" w16cid:durableId="1017002111">
    <w:abstractNumId w:val="16"/>
  </w:num>
  <w:num w:numId="5" w16cid:durableId="2092699749">
    <w:abstractNumId w:val="2"/>
  </w:num>
  <w:num w:numId="6" w16cid:durableId="788428909">
    <w:abstractNumId w:val="9"/>
  </w:num>
  <w:num w:numId="7" w16cid:durableId="2102019860">
    <w:abstractNumId w:val="8"/>
  </w:num>
  <w:num w:numId="8" w16cid:durableId="171605607">
    <w:abstractNumId w:val="0"/>
  </w:num>
  <w:num w:numId="9" w16cid:durableId="236132728">
    <w:abstractNumId w:val="1"/>
  </w:num>
  <w:num w:numId="10" w16cid:durableId="35276675">
    <w:abstractNumId w:val="14"/>
  </w:num>
  <w:num w:numId="11" w16cid:durableId="1130322709">
    <w:abstractNumId w:val="11"/>
  </w:num>
  <w:num w:numId="12" w16cid:durableId="1871986369">
    <w:abstractNumId w:val="18"/>
  </w:num>
  <w:num w:numId="13" w16cid:durableId="1372194762">
    <w:abstractNumId w:val="5"/>
  </w:num>
  <w:num w:numId="14" w16cid:durableId="1950309496">
    <w:abstractNumId w:val="17"/>
  </w:num>
  <w:num w:numId="15" w16cid:durableId="1175413309">
    <w:abstractNumId w:val="12"/>
  </w:num>
  <w:num w:numId="16" w16cid:durableId="1219826949">
    <w:abstractNumId w:val="3"/>
  </w:num>
  <w:num w:numId="17" w16cid:durableId="1305548221">
    <w:abstractNumId w:val="4"/>
  </w:num>
  <w:num w:numId="18" w16cid:durableId="1864439339">
    <w:abstractNumId w:val="6"/>
  </w:num>
  <w:num w:numId="19" w16cid:durableId="1452938717">
    <w:abstractNumId w:val="10"/>
  </w:num>
  <w:num w:numId="20" w16cid:durableId="1099715853">
    <w:abstractNumId w:val="2"/>
    <w:lvlOverride w:ilvl="0">
      <w:startOverride w:val="1"/>
    </w:lvlOverride>
  </w:num>
  <w:num w:numId="21" w16cid:durableId="213236106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D36D3"/>
    <w:rsid w:val="004B0D9F"/>
    <w:rsid w:val="004D36D3"/>
    <w:rsid w:val="009554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88A8E78"/>
  <w15:docId w15:val="{C4CFFCA0-617A-5C43-87F1-E02F9E9D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 w:val="22"/>
        <w:szCs w:val="22"/>
        <w:lang w:val="pl-PL" w:eastAsia="en-US" w:bidi="ar-SA"/>
      </w:rPr>
    </w:rPrDefault>
    <w:pPrDefault>
      <w:pPr>
        <w:autoSpaceDN w:val="0"/>
        <w:ind w:firstLine="72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0" w:line="240" w:lineRule="auto"/>
    </w:pPr>
    <w:rPr>
      <w:rFonts w:ascii="Times New Roman" w:eastAsia="Times New Roman" w:hAnsi="Times New Roman" w:cs="Times New Roman"/>
      <w:b/>
      <w:sz w:val="28"/>
      <w:szCs w:val="20"/>
      <w:lang w:eastAsia="pl-PL"/>
    </w:rPr>
  </w:style>
  <w:style w:type="paragraph" w:styleId="Lista">
    <w:name w:val="List"/>
    <w:basedOn w:val="Textbody"/>
    <w:rPr>
      <w:rFonts w:cs="Lucida Sans"/>
      <w:sz w:val="24"/>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Akapitzlist">
    <w:name w:val="List Paragraph"/>
    <w:basedOn w:val="Standard"/>
    <w:pPr>
      <w:ind w:left="720"/>
    </w:pPr>
  </w:style>
  <w:style w:type="paragraph" w:customStyle="1" w:styleId="Style2">
    <w:name w:val="Style 2"/>
    <w:basedOn w:val="Standard"/>
    <w:pPr>
      <w:widowControl w:val="0"/>
      <w:shd w:val="clear" w:color="auto" w:fill="FFFFFF"/>
      <w:spacing w:after="0" w:line="240" w:lineRule="atLeast"/>
    </w:pPr>
    <w:rPr>
      <w:sz w:val="13"/>
      <w:szCs w:val="13"/>
    </w:rPr>
  </w:style>
  <w:style w:type="paragraph" w:customStyle="1" w:styleId="Style10">
    <w:name w:val="Style 10"/>
    <w:basedOn w:val="Standard"/>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Standard"/>
    <w:pPr>
      <w:widowControl w:val="0"/>
      <w:shd w:val="clear" w:color="auto" w:fill="FFFFFF"/>
      <w:spacing w:before="360" w:after="0" w:line="168" w:lineRule="exact"/>
      <w:ind w:hanging="180"/>
      <w:jc w:val="center"/>
    </w:pPr>
    <w:rPr>
      <w:b/>
      <w:bCs/>
      <w:sz w:val="14"/>
      <w:szCs w:val="14"/>
    </w:rPr>
  </w:style>
  <w:style w:type="paragraph" w:styleId="Tekstdymka">
    <w:name w:val="Balloon Text"/>
    <w:basedOn w:val="Standard"/>
    <w:pPr>
      <w:spacing w:after="0" w:line="240" w:lineRule="auto"/>
    </w:pPr>
    <w:rPr>
      <w:rFonts w:ascii="Tahoma" w:eastAsia="Tahoma" w:hAnsi="Tahoma"/>
      <w:sz w:val="16"/>
      <w:szCs w:val="16"/>
    </w:rPr>
  </w:style>
  <w:style w:type="paragraph" w:styleId="NormalnyWeb">
    <w:name w:val="Normal (Web)"/>
    <w:basedOn w:val="Standard"/>
    <w:pPr>
      <w:spacing w:before="280" w:after="280" w:line="240" w:lineRule="auto"/>
    </w:pPr>
    <w:rPr>
      <w:rFonts w:ascii="Times New Roman" w:eastAsia="Times New Roman" w:hAnsi="Times New Roman" w:cs="Times New Roman"/>
      <w:sz w:val="24"/>
      <w:szCs w:val="24"/>
      <w:lang w:eastAsia="pl-PL"/>
    </w:rPr>
  </w:style>
  <w:style w:type="paragraph" w:customStyle="1" w:styleId="Style43">
    <w:name w:val="Style 43"/>
    <w:basedOn w:val="Standard"/>
    <w:pPr>
      <w:widowControl w:val="0"/>
      <w:shd w:val="clear" w:color="auto" w:fill="FFFFFF"/>
      <w:spacing w:after="2100" w:line="206" w:lineRule="exact"/>
      <w:jc w:val="both"/>
    </w:pPr>
    <w:rPr>
      <w:rFonts w:ascii="Courier New" w:eastAsia="Courier New" w:hAnsi="Courier New" w:cs="Courier New"/>
      <w:i/>
      <w:iCs/>
      <w:sz w:val="18"/>
      <w:szCs w:val="18"/>
    </w:rPr>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styleId="Tekstpodstawowy2">
    <w:name w:val="Body Text 2"/>
    <w:basedOn w:val="Standard"/>
    <w:pPr>
      <w:spacing w:after="120" w:line="480" w:lineRule="auto"/>
    </w:pPr>
    <w:rPr>
      <w:rFonts w:ascii="Times New Roman" w:eastAsia="Times New Roman" w:hAnsi="Times New Roman" w:cs="Times New Roman"/>
      <w:sz w:val="24"/>
      <w:szCs w:val="20"/>
      <w:lang w:eastAsia="pl-PL"/>
    </w:rPr>
  </w:style>
  <w:style w:type="paragraph" w:customStyle="1" w:styleId="Default">
    <w:name w:val="Default"/>
    <w:pPr>
      <w:suppressAutoHyphens/>
    </w:pPr>
    <w:rPr>
      <w:rFonts w:ascii="Times New Roman" w:eastAsia="Times New Roman" w:hAnsi="Times New Roman" w:cs="Times New Roman"/>
      <w:color w:val="000000"/>
      <w:sz w:val="24"/>
      <w:szCs w:val="24"/>
    </w:rPr>
  </w:style>
  <w:style w:type="paragraph" w:customStyle="1" w:styleId="Endnote">
    <w:name w:val="Endnote"/>
    <w:basedOn w:val="Standard"/>
    <w:pPr>
      <w:spacing w:after="0" w:line="240" w:lineRule="auto"/>
    </w:pPr>
    <w:rPr>
      <w:sz w:val="20"/>
      <w:szCs w:val="20"/>
    </w:rPr>
  </w:style>
  <w:style w:type="paragraph" w:customStyle="1" w:styleId="Standarduser">
    <w:name w:val="Standard (user)"/>
    <w:pPr>
      <w:suppressAutoHyphens/>
      <w:spacing w:after="200" w:line="276" w:lineRule="auto"/>
    </w:pPr>
    <w:rPr>
      <w:rFonts w:cs="Times New Roman"/>
      <w:kern w:val="3"/>
    </w:rPr>
  </w:style>
  <w:style w:type="character" w:customStyle="1" w:styleId="CharStyle3Exact">
    <w:name w:val="Char Style 3 Exact"/>
    <w:basedOn w:val="Domylnaczcionkaakapitu"/>
    <w:rPr>
      <w:sz w:val="13"/>
      <w:szCs w:val="13"/>
      <w:shd w:val="clear" w:color="auto" w:fill="FFFFFF"/>
    </w:rPr>
  </w:style>
  <w:style w:type="character" w:customStyle="1" w:styleId="CharStyle11">
    <w:name w:val="Char Style 11"/>
    <w:basedOn w:val="Domylnaczcionkaakapitu"/>
    <w:rPr>
      <w:sz w:val="14"/>
      <w:szCs w:val="14"/>
      <w:shd w:val="clear" w:color="auto" w:fill="FFFFFF"/>
    </w:rPr>
  </w:style>
  <w:style w:type="character" w:customStyle="1" w:styleId="CharStyle13">
    <w:name w:val="Char Style 13"/>
    <w:basedOn w:val="Domylnaczcionkaakapitu"/>
    <w:rPr>
      <w:sz w:val="14"/>
      <w:szCs w:val="14"/>
      <w:shd w:val="clear" w:color="auto" w:fill="FFFFFF"/>
    </w:rPr>
  </w:style>
  <w:style w:type="character" w:customStyle="1" w:styleId="CharStyle14">
    <w:name w:val="Char Style 14"/>
    <w:basedOn w:val="CharStyle13"/>
    <w:rPr>
      <w:spacing w:val="40"/>
      <w:sz w:val="14"/>
      <w:szCs w:val="14"/>
      <w:shd w:val="clear" w:color="auto" w:fill="FFFFFF"/>
    </w:rPr>
  </w:style>
  <w:style w:type="character" w:customStyle="1" w:styleId="TekstdymkaZnak">
    <w:name w:val="Tekst dymka Znak"/>
    <w:basedOn w:val="Domylnaczcionkaakapitu"/>
    <w:rPr>
      <w:rFonts w:ascii="Tahoma" w:eastAsia="Tahoma" w:hAnsi="Tahoma" w:cs="Tahoma"/>
      <w:sz w:val="16"/>
      <w:szCs w:val="16"/>
    </w:rPr>
  </w:style>
  <w:style w:type="character" w:styleId="Pogrubienie">
    <w:name w:val="Strong"/>
    <w:basedOn w:val="Domylnaczcionkaakapitu"/>
    <w:rPr>
      <w:b/>
      <w:bCs/>
    </w:rPr>
  </w:style>
  <w:style w:type="character" w:customStyle="1" w:styleId="CharStyle44">
    <w:name w:val="Char Style 44"/>
    <w:basedOn w:val="Domylnaczcionkaakapitu"/>
    <w:rPr>
      <w:rFonts w:ascii="Courier New" w:eastAsia="Courier New" w:hAnsi="Courier New" w:cs="Courier New"/>
      <w:i/>
      <w:iCs/>
      <w:sz w:val="18"/>
      <w:szCs w:val="18"/>
      <w:shd w:val="clear" w:color="auto" w:fill="FFFFFF"/>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podstawowyZnak">
    <w:name w:val="Tekst podstawowy Znak"/>
    <w:basedOn w:val="Domylnaczcionkaakapitu"/>
    <w:rPr>
      <w:rFonts w:ascii="Times New Roman" w:eastAsia="Times New Roman" w:hAnsi="Times New Roman" w:cs="Times New Roman"/>
      <w:b/>
      <w:sz w:val="28"/>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24"/>
      <w:szCs w:val="20"/>
      <w:lang w:eastAsia="pl-PL"/>
    </w:rPr>
  </w:style>
  <w:style w:type="character" w:customStyle="1" w:styleId="CharStyle3">
    <w:name w:val="Char Style 3"/>
    <w:basedOn w:val="Domylnaczcionkaakapitu"/>
    <w:rPr>
      <w:sz w:val="23"/>
      <w:szCs w:val="23"/>
      <w:u w:val="none"/>
    </w:rPr>
  </w:style>
  <w:style w:type="character" w:customStyle="1" w:styleId="alb">
    <w:name w:val="a_lb"/>
    <w:basedOn w:val="Domylnaczcionkaakapitu"/>
  </w:style>
  <w:style w:type="character" w:customStyle="1" w:styleId="Internetlink">
    <w:name w:val="Internet link"/>
    <w:basedOn w:val="Domylnaczcionkaakapitu"/>
    <w:rPr>
      <w:color w:val="0000FF"/>
      <w:u w:val="single"/>
    </w:rPr>
  </w:style>
  <w:style w:type="character" w:customStyle="1" w:styleId="TekstprzypisukocowegoZnak">
    <w:name w:val="Tekst przypisu końcowego Znak"/>
    <w:basedOn w:val="Domylnaczcionkaakapitu"/>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Domylnaczcionkaakapitu"/>
    <w:rPr>
      <w:position w:val="0"/>
      <w:vertAlign w:val="superscript"/>
    </w:rPr>
  </w:style>
  <w:style w:type="character" w:customStyle="1" w:styleId="ListLabel1">
    <w:name w:val="ListLabel 1"/>
    <w:rPr>
      <w:rFonts w:ascii="Arial" w:eastAsia="Arial" w:hAnsi="Arial" w:cs="Arial"/>
      <w:b/>
      <w:sz w:val="18"/>
      <w:szCs w:val="18"/>
    </w:rPr>
  </w:style>
  <w:style w:type="character" w:customStyle="1" w:styleId="ListLabel2">
    <w:name w:val="ListLabel 2"/>
    <w:rPr>
      <w:b w:val="0"/>
      <w:sz w:val="22"/>
      <w:szCs w:val="22"/>
    </w:rPr>
  </w:style>
  <w:style w:type="character" w:customStyle="1" w:styleId="ListLabel3">
    <w:name w:val="ListLabel 3"/>
    <w:rPr>
      <w:b w:val="0"/>
      <w:bCs w:val="0"/>
      <w:i w:val="0"/>
      <w:iCs w:val="0"/>
      <w:caps w:val="0"/>
      <w:smallCaps w:val="0"/>
      <w:strike w:val="0"/>
      <w:dstrike w:val="0"/>
      <w:color w:val="000000"/>
      <w:spacing w:val="0"/>
      <w:w w:val="100"/>
      <w:sz w:val="23"/>
      <w:szCs w:val="23"/>
      <w:u w:val="none"/>
    </w:rPr>
  </w:style>
  <w:style w:type="character" w:customStyle="1" w:styleId="ListLabel4">
    <w:name w:val="ListLabel 4"/>
    <w:rPr>
      <w:b w:val="0"/>
      <w:bCs w:val="0"/>
      <w:i w:val="0"/>
      <w:iCs w:val="0"/>
      <w:caps w:val="0"/>
      <w:smallCaps w:val="0"/>
      <w:strike w:val="0"/>
      <w:dstrike w:val="0"/>
      <w:color w:val="000000"/>
      <w:spacing w:val="0"/>
      <w:w w:val="100"/>
      <w:sz w:val="23"/>
      <w:szCs w:val="23"/>
      <w:u w:val="none"/>
    </w:rPr>
  </w:style>
  <w:style w:type="character" w:customStyle="1" w:styleId="ListLabel5">
    <w:name w:val="ListLabel 5"/>
    <w:rPr>
      <w:b w:val="0"/>
      <w:bCs w:val="0"/>
      <w:i w:val="0"/>
      <w:iCs w:val="0"/>
      <w:caps w:val="0"/>
      <w:smallCaps w:val="0"/>
      <w:strike w:val="0"/>
      <w:dstrike w:val="0"/>
      <w:color w:val="000000"/>
      <w:spacing w:val="0"/>
      <w:w w:val="100"/>
      <w:sz w:val="23"/>
      <w:szCs w:val="23"/>
      <w:u w:val="none"/>
    </w:rPr>
  </w:style>
  <w:style w:type="character" w:customStyle="1" w:styleId="ListLabel6">
    <w:name w:val="ListLabel 6"/>
    <w:rPr>
      <w:b w:val="0"/>
      <w:bCs w:val="0"/>
      <w:i w:val="0"/>
      <w:iCs w:val="0"/>
      <w:caps w:val="0"/>
      <w:smallCaps w:val="0"/>
      <w:strike w:val="0"/>
      <w:dstrike w:val="0"/>
      <w:color w:val="000000"/>
      <w:spacing w:val="0"/>
      <w:w w:val="100"/>
      <w:sz w:val="23"/>
      <w:szCs w:val="23"/>
      <w:u w:val="none"/>
    </w:rPr>
  </w:style>
  <w:style w:type="character" w:customStyle="1" w:styleId="ListLabel7">
    <w:name w:val="ListLabel 7"/>
    <w:rPr>
      <w:b w:val="0"/>
      <w:bCs w:val="0"/>
      <w:i w:val="0"/>
      <w:iCs w:val="0"/>
      <w:caps w:val="0"/>
      <w:smallCaps w:val="0"/>
      <w:strike w:val="0"/>
      <w:dstrike w:val="0"/>
      <w:color w:val="000000"/>
      <w:spacing w:val="0"/>
      <w:w w:val="100"/>
      <w:sz w:val="23"/>
      <w:szCs w:val="23"/>
      <w:u w:val="none"/>
    </w:rPr>
  </w:style>
  <w:style w:type="character" w:customStyle="1" w:styleId="ListLabel8">
    <w:name w:val="ListLabel 8"/>
    <w:rPr>
      <w:b w:val="0"/>
      <w:bCs w:val="0"/>
      <w:i w:val="0"/>
      <w:iCs w:val="0"/>
      <w:caps w:val="0"/>
      <w:smallCaps w:val="0"/>
      <w:strike w:val="0"/>
      <w:dstrike w:val="0"/>
      <w:color w:val="000000"/>
      <w:spacing w:val="0"/>
      <w:w w:val="100"/>
      <w:sz w:val="23"/>
      <w:szCs w:val="23"/>
      <w:u w:val="none"/>
    </w:rPr>
  </w:style>
  <w:style w:type="character" w:customStyle="1" w:styleId="ListLabel9">
    <w:name w:val="ListLabel 9"/>
    <w:rPr>
      <w:b w:val="0"/>
      <w:bCs w:val="0"/>
      <w:i w:val="0"/>
      <w:iCs w:val="0"/>
      <w:caps w:val="0"/>
      <w:smallCaps w:val="0"/>
      <w:strike w:val="0"/>
      <w:dstrike w:val="0"/>
      <w:color w:val="000000"/>
      <w:spacing w:val="0"/>
      <w:w w:val="100"/>
      <w:sz w:val="23"/>
      <w:szCs w:val="23"/>
      <w:u w:val="none"/>
    </w:rPr>
  </w:style>
  <w:style w:type="character" w:customStyle="1" w:styleId="ListLabel10">
    <w:name w:val="ListLabel 10"/>
    <w:rPr>
      <w:b w:val="0"/>
      <w:bCs w:val="0"/>
      <w:i w:val="0"/>
      <w:iCs w:val="0"/>
      <w:caps w:val="0"/>
      <w:smallCaps w:val="0"/>
      <w:strike w:val="0"/>
      <w:dstrike w:val="0"/>
      <w:color w:val="000000"/>
      <w:spacing w:val="0"/>
      <w:w w:val="100"/>
      <w:sz w:val="23"/>
      <w:szCs w:val="23"/>
      <w:u w:val="none"/>
    </w:rPr>
  </w:style>
  <w:style w:type="character" w:customStyle="1" w:styleId="ListLabel11">
    <w:name w:val="ListLabel 11"/>
    <w:rPr>
      <w:b w:val="0"/>
      <w:bCs w:val="0"/>
      <w:i w:val="0"/>
      <w:iCs w:val="0"/>
      <w:caps w:val="0"/>
      <w:smallCaps w:val="0"/>
      <w:strike w:val="0"/>
      <w:dstrike w:val="0"/>
      <w:color w:val="000000"/>
      <w:spacing w:val="0"/>
      <w:w w:val="100"/>
      <w:sz w:val="23"/>
      <w:szCs w:val="23"/>
      <w:u w:val="none"/>
    </w:rPr>
  </w:style>
  <w:style w:type="character" w:customStyle="1" w:styleId="ListLabel12">
    <w:name w:val="ListLabel 12"/>
    <w:rPr>
      <w:rFonts w:ascii="Arial" w:eastAsia="Arial" w:hAnsi="Arial" w:cs="Arial"/>
      <w:b/>
      <w:bCs/>
      <w:color w:val="auto"/>
      <w:sz w:val="22"/>
    </w:rPr>
  </w:style>
  <w:style w:type="character" w:customStyle="1" w:styleId="ListLabel13">
    <w:name w:val="ListLabel 13"/>
    <w:rPr>
      <w:b w:val="0"/>
      <w:bCs/>
      <w:color w:val="auto"/>
    </w:rPr>
  </w:style>
  <w:style w:type="character" w:customStyle="1" w:styleId="ListLabel14">
    <w:name w:val="ListLabel 14"/>
    <w:rPr>
      <w:rFonts w:ascii="Arial" w:eastAsia="Arial" w:hAnsi="Arial" w:cs="Arial"/>
      <w:b/>
      <w:bCs/>
      <w:color w:val="auto"/>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NumberingSymbols">
    <w:name w:val="Numbering Symbols"/>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2013 — 2022">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2793</Words>
  <Characters>16759</Characters>
  <Application>Microsoft Office Word</Application>
  <DocSecurity>0</DocSecurity>
  <Lines>139</Lines>
  <Paragraphs>39</Paragraphs>
  <ScaleCrop>false</ScaleCrop>
  <Company/>
  <LinksUpToDate>false</LinksUpToDate>
  <CharactersWithSpaces>19513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Szoplik</dc:creator>
  <dc:description/>
  <cp:lastModifiedBy>Krzysztof Szypulski</cp:lastModifiedBy>
  <cp:revision>2</cp:revision>
  <cp:lastPrinted>2025-06-16T10:59:00Z</cp:lastPrinted>
  <dcterms:created xsi:type="dcterms:W3CDTF">2025-06-23T16:16:00Z</dcterms:created>
  <dcterms:modified xsi:type="dcterms:W3CDTF">2025-06-23T16:16:00Z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