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477B8" w14:textId="77777777" w:rsidR="00FD7CC4" w:rsidRDefault="005A58F8">
      <w:pPr>
        <w:pStyle w:val="Standard"/>
        <w:ind w:left="6240"/>
      </w:pPr>
      <w:r>
        <w:rPr>
          <w:rFonts w:ascii="Arial" w:hAnsi="Arial" w:cs="Times New Roman"/>
        </w:rPr>
        <w:t>Załącznik nr 1 do decyzji znak: GNR.I.6220.7.2021.10 z dnia 26 listopada 2021 r. o środowiskowych uwarunkowaniach na realizację przedsięwzięcia</w:t>
      </w:r>
    </w:p>
    <w:p w14:paraId="2CB19806" w14:textId="77777777" w:rsidR="00FD7CC4" w:rsidRPr="007760B0" w:rsidRDefault="005A58F8">
      <w:pPr>
        <w:pStyle w:val="Standard"/>
        <w:jc w:val="center"/>
      </w:pPr>
      <w:r w:rsidRPr="007760B0">
        <w:rPr>
          <w:rFonts w:ascii="Arial" w:hAnsi="Arial" w:cs="Times New Roman"/>
          <w:b/>
        </w:rPr>
        <w:t>CHARAKTERYSTYKA PRZEDSIĘWZIĘCIA</w:t>
      </w:r>
    </w:p>
    <w:p w14:paraId="3421F147" w14:textId="77777777" w:rsidR="00FD7CC4" w:rsidRDefault="005A58F8">
      <w:pPr>
        <w:pStyle w:val="Standard"/>
        <w:spacing w:after="0"/>
        <w:jc w:val="center"/>
      </w:pPr>
      <w:r>
        <w:rPr>
          <w:rFonts w:ascii="Arial" w:hAnsi="Arial" w:cs="Times New Roman"/>
        </w:rPr>
        <w:t xml:space="preserve">polegającego na: </w:t>
      </w:r>
      <w:r>
        <w:rPr>
          <w:rFonts w:ascii="Arial" w:hAnsi="Arial" w:cs="Times New Roman"/>
          <w:b/>
        </w:rPr>
        <w:t>„</w:t>
      </w:r>
      <w:r>
        <w:rPr>
          <w:rFonts w:ascii="Arial, sans-serif" w:hAnsi="Arial, sans-serif" w:cs="Arial"/>
          <w:b/>
          <w:iCs/>
        </w:rPr>
        <w:t>Budowie Elektrowni Słonecznej wraz z infrastrukturą towarzyszącą na działce nr ew. 213/3 (obręb 0216) w miejscowości Żydowo, Gmina Polanów (proj. Żydowo II</w:t>
      </w:r>
      <w:proofErr w:type="gramStart"/>
      <w:r>
        <w:rPr>
          <w:rFonts w:ascii="Arial, sans-serif" w:hAnsi="Arial, sans-serif" w:cs="Arial"/>
          <w:b/>
          <w:iCs/>
        </w:rPr>
        <w:t>)</w:t>
      </w:r>
      <w:r>
        <w:rPr>
          <w:rFonts w:ascii="Arial" w:hAnsi="Arial" w:cs="Arial"/>
          <w:b/>
          <w:iCs/>
        </w:rPr>
        <w:t xml:space="preserve"> </w:t>
      </w:r>
      <w:r>
        <w:rPr>
          <w:rFonts w:ascii="Arial" w:hAnsi="Arial" w:cs="Times New Roman"/>
          <w:b/>
        </w:rPr>
        <w:t>”</w:t>
      </w:r>
      <w:proofErr w:type="gramEnd"/>
    </w:p>
    <w:p w14:paraId="1531F521" w14:textId="77777777" w:rsidR="00FD7CC4" w:rsidRDefault="005A58F8">
      <w:pPr>
        <w:pStyle w:val="Standard"/>
        <w:spacing w:before="240"/>
      </w:pPr>
      <w:r>
        <w:rPr>
          <w:rFonts w:ascii="Arial" w:hAnsi="Arial" w:cs="Times New Roman"/>
          <w:b/>
        </w:rPr>
        <w:t>1. Rodzaj, cechy, skala i usytuowanie przedsięwzięcia</w:t>
      </w:r>
      <w:r>
        <w:rPr>
          <w:rFonts w:ascii="Times New Roman" w:hAnsi="Times New Roman" w:cs="Times New Roman"/>
          <w:b/>
        </w:rPr>
        <w:t>.</w:t>
      </w:r>
    </w:p>
    <w:p w14:paraId="63E5C972" w14:textId="15C387FC" w:rsidR="00FD7CC4" w:rsidRDefault="005A58F8" w:rsidP="005959E0">
      <w:pPr>
        <w:pStyle w:val="Textbody"/>
        <w:spacing w:after="0" w:line="240" w:lineRule="auto"/>
      </w:pPr>
      <w:r>
        <w:rPr>
          <w:rFonts w:ascii="Arial, sans-serif" w:eastAsia="Times New Roman" w:hAnsi="Arial, sans-serif" w:cs="Arial"/>
        </w:rPr>
        <w:tab/>
        <w:t>Przedmiotowe przedsięwzięcie będzie polegało na budowie farmy fotowoltaicznej o łącznej mocy do 1 MW wraz z infrastrukturą techniczną, na działce nr 213/3 obręb Żydowo, gm. Polanów. W ramach przedmiotowego przedsięwzięcia przewiduje się budowę/montaż: paneli fotowoltaicznych w ilości do około 4000 szt., stalowych konstrukcji wsporczych, inwerterów, prefabrykowanej stacji transformatorowej, budynków/kontenerów do magazynowania energii, dróg wewnętrznych oraz placu manewrowego o nawierzchni gruntowej, a także ogrodzenia.</w:t>
      </w:r>
    </w:p>
    <w:p w14:paraId="016E1693" w14:textId="77777777" w:rsidR="00FD7CC4" w:rsidRDefault="005A58F8" w:rsidP="005959E0">
      <w:pPr>
        <w:pStyle w:val="Standard"/>
        <w:spacing w:before="480"/>
      </w:pPr>
      <w:r>
        <w:rPr>
          <w:rFonts w:ascii="Arial" w:eastAsia="Times New Roman" w:hAnsi="Arial" w:cs="Times New Roman"/>
          <w:b/>
          <w:lang w:eastAsia="pl-PL"/>
        </w:rPr>
        <w:t>2. Powierzchnia zajmowanej nieruchomości, dotychczasowy sposób wykorzystania i pokrycia szatą roślinną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7764B80D" w14:textId="42F3D7A4" w:rsidR="00FD7CC4" w:rsidRDefault="005A58F8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, sans-serif" w:eastAsia="Times New Roman" w:hAnsi="Arial, sans-serif" w:cs="Arial"/>
          <w:color w:val="000000"/>
        </w:rPr>
        <w:tab/>
        <w:t xml:space="preserve">Całkowita powierzchnia działki inwestycyjnej wynosi 3,87 ha, natomiast powierzchnia przeznaczona do przekształcenia w wyniku realizacji inwestycji osiągnie do 1,1174 ha.  W obrębie przedmiotowej działki występują następujące klasoużytki: w przeważającej części grunty orne (RV i </w:t>
      </w:r>
      <w:proofErr w:type="spellStart"/>
      <w:r>
        <w:rPr>
          <w:rFonts w:ascii="Arial, sans-serif" w:eastAsia="Times New Roman" w:hAnsi="Arial, sans-serif" w:cs="Arial"/>
          <w:color w:val="000000"/>
        </w:rPr>
        <w:t>RIVb</w:t>
      </w:r>
      <w:proofErr w:type="spellEnd"/>
      <w:r>
        <w:rPr>
          <w:rFonts w:ascii="Arial, sans-serif" w:eastAsia="Times New Roman" w:hAnsi="Arial, sans-serif" w:cs="Arial"/>
          <w:color w:val="000000"/>
        </w:rPr>
        <w:t>) oraz na pozostałej części łąki trwałe (ŁV, ŁIV), nieużytek (N) oraz grunty zadrzewione i zakrzewione na użytkach rolnych (</w:t>
      </w:r>
      <w:proofErr w:type="spellStart"/>
      <w:r>
        <w:rPr>
          <w:rFonts w:ascii="Arial, sans-serif" w:eastAsia="Times New Roman" w:hAnsi="Arial, sans-serif" w:cs="Arial"/>
          <w:color w:val="000000"/>
        </w:rPr>
        <w:t>Lzr</w:t>
      </w:r>
      <w:proofErr w:type="spellEnd"/>
      <w:r>
        <w:rPr>
          <w:rFonts w:ascii="Arial, sans-serif" w:eastAsia="Times New Roman" w:hAnsi="Arial, sans-serif" w:cs="Arial"/>
          <w:color w:val="000000"/>
        </w:rPr>
        <w:t>-ŁIV) i pastwiska (</w:t>
      </w:r>
      <w:proofErr w:type="spellStart"/>
      <w:r>
        <w:rPr>
          <w:rFonts w:ascii="Arial, sans-serif" w:eastAsia="Times New Roman" w:hAnsi="Arial, sans-serif" w:cs="Arial"/>
          <w:color w:val="000000"/>
        </w:rPr>
        <w:t>PsIV</w:t>
      </w:r>
      <w:proofErr w:type="spellEnd"/>
      <w:r>
        <w:rPr>
          <w:rFonts w:ascii="Arial, sans-serif" w:eastAsia="Times New Roman" w:hAnsi="Arial, sans-serif" w:cs="Arial"/>
          <w:color w:val="000000"/>
        </w:rPr>
        <w:t xml:space="preserve">). Przedmiotowa instalacja zostanie usytuowana jedynie na gruntach ornych klasy RV i </w:t>
      </w:r>
      <w:proofErr w:type="spellStart"/>
      <w:r>
        <w:rPr>
          <w:rFonts w:ascii="Arial, sans-serif" w:eastAsia="Times New Roman" w:hAnsi="Arial, sans-serif" w:cs="Arial"/>
          <w:color w:val="000000"/>
        </w:rPr>
        <w:t>RIVb</w:t>
      </w:r>
      <w:proofErr w:type="spellEnd"/>
      <w:r>
        <w:rPr>
          <w:rFonts w:ascii="Arial, sans-serif" w:eastAsia="Times New Roman" w:hAnsi="Arial, sans-serif" w:cs="Arial"/>
          <w:color w:val="000000"/>
        </w:rPr>
        <w:t xml:space="preserve"> i</w:t>
      </w:r>
      <w:r w:rsidR="00641585">
        <w:rPr>
          <w:rFonts w:ascii="Arial, sans-serif" w:eastAsia="Times New Roman" w:hAnsi="Arial, sans-serif" w:cs="Arial" w:hint="eastAsia"/>
          <w:color w:val="000000"/>
        </w:rPr>
        <w:t> </w:t>
      </w:r>
      <w:r>
        <w:rPr>
          <w:rFonts w:ascii="Arial, sans-serif" w:eastAsia="Times New Roman" w:hAnsi="Arial, sans-serif" w:cs="Arial"/>
          <w:color w:val="000000"/>
        </w:rPr>
        <w:t>częściowo na łąkach (ŁV), na których obecnie prowadzona jest uprawa roślin paszowych (głównie traw z rzędu wiechlinowatych i koniczyny polnej). Działka inwestycyjna sąsiaduje od strony północnej i zachodniej z agrocenozami i w niewielkiej części obszara</w:t>
      </w:r>
      <w:r>
        <w:rPr>
          <w:rFonts w:ascii="Arial, sans-serif" w:eastAsia="Times New Roman" w:hAnsi="Arial, sans-serif" w:cs="Arial"/>
        </w:rPr>
        <w:t>mi leśnymi, a od strony południowej i wschodniej z drogą gruntową oraz w dalszym otoczeniu z kompleksem leśnym.</w:t>
      </w:r>
    </w:p>
    <w:p w14:paraId="6DF5C2D5" w14:textId="77777777" w:rsidR="00FD7CC4" w:rsidRDefault="005A58F8" w:rsidP="005959E0">
      <w:pPr>
        <w:pStyle w:val="Standard"/>
        <w:spacing w:before="480"/>
      </w:pPr>
      <w:r>
        <w:rPr>
          <w:rFonts w:ascii="Arial" w:eastAsia="Times New Roman" w:hAnsi="Arial" w:cs="Times New Roman"/>
          <w:b/>
          <w:lang w:eastAsia="pl-PL"/>
        </w:rPr>
        <w:t>3. Rodzaj planowanej technologii</w:t>
      </w:r>
      <w:r>
        <w:rPr>
          <w:rFonts w:ascii="Times New Roman" w:eastAsia="Times New Roman" w:hAnsi="Times New Roman" w:cs="Times New Roman"/>
          <w:b/>
          <w:szCs w:val="24"/>
          <w:lang w:eastAsia="pl-PL"/>
        </w:rPr>
        <w:t>.</w:t>
      </w:r>
    </w:p>
    <w:p w14:paraId="0840515B" w14:textId="1A910776" w:rsidR="00FD7CC4" w:rsidRDefault="005A58F8">
      <w:pPr>
        <w:pStyle w:val="Standard"/>
        <w:spacing w:before="240"/>
      </w:pPr>
      <w:r>
        <w:rPr>
          <w:rFonts w:ascii="Arial" w:eastAsia="Times New Roman" w:hAnsi="Arial" w:cs="Times New Roman"/>
          <w:bCs/>
          <w:lang w:eastAsia="pl-PL"/>
        </w:rPr>
        <w:t>Ogniwa fotowoltaiczne pracują bezobsługowo. Montaż odbywa się w miejscu posadowienia z</w:t>
      </w:r>
      <w:r w:rsidR="00641585">
        <w:rPr>
          <w:rFonts w:ascii="Arial" w:eastAsia="Times New Roman" w:hAnsi="Arial" w:cs="Times New Roman"/>
          <w:bCs/>
          <w:lang w:eastAsia="pl-PL"/>
        </w:rPr>
        <w:t> </w:t>
      </w:r>
      <w:r>
        <w:rPr>
          <w:rFonts w:ascii="Arial" w:eastAsia="Times New Roman" w:hAnsi="Arial" w:cs="Times New Roman"/>
          <w:bCs/>
          <w:lang w:eastAsia="pl-PL"/>
        </w:rPr>
        <w:t xml:space="preserve">gotowych elementów bezpośrednio na gruncie. Montaż obejmuje </w:t>
      </w:r>
      <w:proofErr w:type="gramStart"/>
      <w:r>
        <w:rPr>
          <w:rFonts w:ascii="Arial" w:eastAsia="Times New Roman" w:hAnsi="Arial" w:cs="Times New Roman"/>
          <w:bCs/>
          <w:lang w:eastAsia="pl-PL"/>
        </w:rPr>
        <w:t>wbicie,</w:t>
      </w:r>
      <w:proofErr w:type="gramEnd"/>
      <w:r>
        <w:rPr>
          <w:rFonts w:ascii="Arial" w:eastAsia="Times New Roman" w:hAnsi="Arial" w:cs="Times New Roman"/>
          <w:bCs/>
          <w:lang w:eastAsia="pl-PL"/>
        </w:rPr>
        <w:t xml:space="preserve"> bądź wkręcenie, do gruntu konstrukcji mocujących w formie metalowych słupków, do których przykręcane są panele fotowoltaiczne, podłączane są przetwornice, inwertery i inne urządzenia wspomagające pracę ogniw. Energia elektryczna z paneli fotowoltaicznych w postaci prądu stałego przesyłana będzie przewodami zlokalizowanymi na konstrukcjach wsporczych paneli do inwerterów, których zadaniem jest przekształcenie jej na prąd zmienny. Z inwerterów trasami kablowymi energia elektryczna o napięciu </w:t>
      </w:r>
      <w:proofErr w:type="spellStart"/>
      <w:r>
        <w:rPr>
          <w:rFonts w:ascii="Arial" w:eastAsia="Times New Roman" w:hAnsi="Arial" w:cs="Times New Roman"/>
          <w:bCs/>
          <w:lang w:eastAsia="pl-PL"/>
        </w:rPr>
        <w:t>nn</w:t>
      </w:r>
      <w:proofErr w:type="spellEnd"/>
      <w:r>
        <w:rPr>
          <w:rFonts w:ascii="Arial" w:eastAsia="Times New Roman" w:hAnsi="Arial" w:cs="Times New Roman"/>
          <w:bCs/>
          <w:lang w:eastAsia="pl-PL"/>
        </w:rPr>
        <w:t xml:space="preserve"> przesyłana będzie do transformatora, którego zadaniem będzie podniesienie napięcia do wartości 15 </w:t>
      </w:r>
      <w:proofErr w:type="spellStart"/>
      <w:r>
        <w:rPr>
          <w:rFonts w:ascii="Arial" w:eastAsia="Times New Roman" w:hAnsi="Arial" w:cs="Times New Roman"/>
          <w:bCs/>
          <w:lang w:eastAsia="pl-PL"/>
        </w:rPr>
        <w:t>kV</w:t>
      </w:r>
      <w:proofErr w:type="spellEnd"/>
      <w:r>
        <w:rPr>
          <w:rFonts w:ascii="Arial" w:eastAsia="Times New Roman" w:hAnsi="Arial" w:cs="Times New Roman"/>
          <w:bCs/>
          <w:lang w:eastAsia="pl-PL"/>
        </w:rPr>
        <w:t xml:space="preserve"> lub 20 </w:t>
      </w:r>
      <w:proofErr w:type="spellStart"/>
      <w:r>
        <w:rPr>
          <w:rFonts w:ascii="Arial" w:eastAsia="Times New Roman" w:hAnsi="Arial" w:cs="Times New Roman"/>
          <w:bCs/>
          <w:lang w:eastAsia="pl-PL"/>
        </w:rPr>
        <w:t>kV</w:t>
      </w:r>
      <w:proofErr w:type="spellEnd"/>
      <w:r>
        <w:rPr>
          <w:rFonts w:ascii="Arial" w:eastAsia="Times New Roman" w:hAnsi="Arial" w:cs="Times New Roman"/>
          <w:bCs/>
          <w:lang w:eastAsia="pl-PL"/>
        </w:rPr>
        <w:t>, aby możliwa była współpraca z siecią dystrybucyjną.</w:t>
      </w:r>
    </w:p>
    <w:p w14:paraId="267DB9CC" w14:textId="77777777" w:rsidR="00FD7CC4" w:rsidRDefault="005A58F8" w:rsidP="005959E0">
      <w:pPr>
        <w:pStyle w:val="Standard"/>
        <w:spacing w:before="720"/>
      </w:pPr>
      <w:r>
        <w:rPr>
          <w:rFonts w:ascii="Arial" w:eastAsia="Times New Roman" w:hAnsi="Arial" w:cs="Times New Roman"/>
          <w:b/>
          <w:lang w:eastAsia="pl-PL"/>
        </w:rPr>
        <w:lastRenderedPageBreak/>
        <w:t>4. Rozwiązania chroniące środowisko.</w:t>
      </w:r>
    </w:p>
    <w:p w14:paraId="404D8141" w14:textId="77777777" w:rsidR="00FD7CC4" w:rsidRDefault="005A58F8">
      <w:pPr>
        <w:pStyle w:val="Standard"/>
      </w:pPr>
      <w:r>
        <w:rPr>
          <w:rFonts w:ascii="Arial" w:eastAsia="Times New Roman" w:hAnsi="Arial" w:cs="Times New Roman"/>
          <w:szCs w:val="24"/>
          <w:lang w:eastAsia="pl-PL"/>
        </w:rPr>
        <w:tab/>
        <w:t>Ogniwa fotowoltaiczne stanowią źródło tzw. czystej energii. Ich wykorzystanie, dzięki zastępowaniu konwencjonalnych źródeł energii, przyczynia się do spadku emisji do atmosfery CO</w:t>
      </w:r>
      <w:r>
        <w:rPr>
          <w:rFonts w:ascii="Arial" w:eastAsia="Times New Roman" w:hAnsi="Arial" w:cs="Times New Roman"/>
          <w:szCs w:val="24"/>
          <w:vertAlign w:val="subscript"/>
          <w:lang w:eastAsia="pl-PL"/>
        </w:rPr>
        <w:t>2</w:t>
      </w:r>
      <w:r>
        <w:rPr>
          <w:rFonts w:ascii="Arial" w:eastAsia="Times New Roman" w:hAnsi="Arial" w:cs="Times New Roman"/>
          <w:szCs w:val="24"/>
          <w:lang w:eastAsia="pl-PL"/>
        </w:rPr>
        <w:t>, SO</w:t>
      </w:r>
      <w:r>
        <w:rPr>
          <w:rFonts w:ascii="Arial" w:eastAsia="Times New Roman" w:hAnsi="Arial" w:cs="Times New Roman"/>
          <w:szCs w:val="24"/>
          <w:vertAlign w:val="subscript"/>
          <w:lang w:eastAsia="pl-PL"/>
        </w:rPr>
        <w:t>2</w:t>
      </w:r>
      <w:r>
        <w:rPr>
          <w:rFonts w:ascii="Arial" w:eastAsia="Times New Roman" w:hAnsi="Arial" w:cs="Times New Roman"/>
          <w:szCs w:val="24"/>
          <w:lang w:eastAsia="pl-PL"/>
        </w:rPr>
        <w:t xml:space="preserve">, </w:t>
      </w:r>
      <w:proofErr w:type="spellStart"/>
      <w:r>
        <w:rPr>
          <w:rFonts w:ascii="Arial" w:eastAsia="Times New Roman" w:hAnsi="Arial" w:cs="Times New Roman"/>
          <w:szCs w:val="24"/>
          <w:lang w:eastAsia="pl-PL"/>
        </w:rPr>
        <w:t>No</w:t>
      </w:r>
      <w:r>
        <w:rPr>
          <w:rFonts w:ascii="Arial" w:eastAsia="Times New Roman" w:hAnsi="Arial" w:cs="Times New Roman"/>
          <w:szCs w:val="24"/>
          <w:vertAlign w:val="subscript"/>
          <w:lang w:eastAsia="pl-PL"/>
        </w:rPr>
        <w:t>x</w:t>
      </w:r>
      <w:proofErr w:type="spellEnd"/>
      <w:r>
        <w:rPr>
          <w:rFonts w:ascii="Arial" w:eastAsia="Times New Roman" w:hAnsi="Arial" w:cs="Times New Roman"/>
          <w:szCs w:val="24"/>
          <w:lang w:eastAsia="pl-PL"/>
        </w:rPr>
        <w:t xml:space="preserve"> i pyłów, co powoduje korzystne skutki środowiskowe w skalach od lokalnej (spadek zanieczyszczenia powietrza) po globalną (ograniczenie klimatycznych i pochodnych skutków efektu cieplarnianego). Na obszarze inwestycji nie planuje się zastosowania jakichkolwiek środków chemicznych i biologicznych, w tym środków biobójczych (m.in. pestycydów i herbicydów).</w:t>
      </w:r>
    </w:p>
    <w:p w14:paraId="786472A7" w14:textId="4501825F" w:rsidR="00FD7CC4" w:rsidRDefault="005A58F8">
      <w:pPr>
        <w:pStyle w:val="Standard"/>
      </w:pPr>
      <w:r>
        <w:rPr>
          <w:rFonts w:ascii="Arial" w:eastAsia="Times New Roman" w:hAnsi="Arial" w:cs="Times New Roman"/>
          <w:szCs w:val="24"/>
          <w:lang w:eastAsia="pl-PL"/>
        </w:rPr>
        <w:tab/>
        <w:t>W celu minimalizacji niepożądanych zjawisk jakie mogą pojawić się w związku z</w:t>
      </w:r>
      <w:r w:rsidR="00641585">
        <w:rPr>
          <w:rFonts w:ascii="Arial" w:eastAsia="Times New Roman" w:hAnsi="Arial" w:cs="Times New Roman"/>
          <w:szCs w:val="24"/>
          <w:lang w:eastAsia="pl-PL"/>
        </w:rPr>
        <w:t> </w:t>
      </w:r>
      <w:r>
        <w:rPr>
          <w:rFonts w:ascii="Arial" w:eastAsia="Times New Roman" w:hAnsi="Arial" w:cs="Times New Roman"/>
          <w:szCs w:val="24"/>
          <w:lang w:eastAsia="pl-PL"/>
        </w:rPr>
        <w:t>budową elektrowni słonecznej oraz jej eksploatacji zostaną zastosowane działania ograniczające negatywny wpływ inwestycji na środowisko:</w:t>
      </w:r>
    </w:p>
    <w:p w14:paraId="408F5AEB" w14:textId="77777777" w:rsidR="00FD7CC4" w:rsidRDefault="005A58F8">
      <w:pPr>
        <w:pStyle w:val="Standard"/>
        <w:numPr>
          <w:ilvl w:val="0"/>
          <w:numId w:val="1"/>
        </w:numPr>
      </w:pPr>
      <w:r>
        <w:rPr>
          <w:rFonts w:ascii="Arial" w:eastAsia="Times New Roman" w:hAnsi="Arial" w:cs="Times New Roman"/>
          <w:szCs w:val="24"/>
          <w:lang w:eastAsia="pl-PL"/>
        </w:rPr>
        <w:t>rezygnacja ze stosowania nawozów sztucznych i chemicznych środków roślin;</w:t>
      </w:r>
    </w:p>
    <w:p w14:paraId="569FB2BA" w14:textId="77777777" w:rsidR="00FD7CC4" w:rsidRDefault="005A58F8">
      <w:pPr>
        <w:pStyle w:val="Standard"/>
        <w:numPr>
          <w:ilvl w:val="0"/>
          <w:numId w:val="1"/>
        </w:numPr>
      </w:pPr>
      <w:r>
        <w:rPr>
          <w:rFonts w:ascii="Arial" w:eastAsia="Times New Roman" w:hAnsi="Arial" w:cs="Times New Roman"/>
          <w:szCs w:val="24"/>
          <w:lang w:eastAsia="pl-PL"/>
        </w:rPr>
        <w:t>rezygnacja z oświetlenia elektrowni w porze nocnej;</w:t>
      </w:r>
    </w:p>
    <w:p w14:paraId="47985CBE" w14:textId="5BEB8FEC" w:rsidR="00FD7CC4" w:rsidRDefault="005A58F8">
      <w:pPr>
        <w:pStyle w:val="Standard"/>
        <w:numPr>
          <w:ilvl w:val="0"/>
          <w:numId w:val="1"/>
        </w:numPr>
      </w:pPr>
      <w:r>
        <w:rPr>
          <w:rFonts w:ascii="Arial" w:eastAsia="Times New Roman" w:hAnsi="Arial" w:cs="Times New Roman"/>
          <w:szCs w:val="24"/>
          <w:lang w:eastAsia="pl-PL"/>
        </w:rPr>
        <w:t>pozostawienie minimum 20 cm wolnej przestrzeni pomiędzy ogrodzeniem, a</w:t>
      </w:r>
      <w:r w:rsidR="005959E0">
        <w:rPr>
          <w:rFonts w:ascii="Arial" w:eastAsia="Times New Roman" w:hAnsi="Arial" w:cs="Times New Roman"/>
          <w:szCs w:val="24"/>
          <w:lang w:eastAsia="pl-PL"/>
        </w:rPr>
        <w:t> </w:t>
      </w:r>
      <w:r>
        <w:rPr>
          <w:rFonts w:ascii="Arial" w:eastAsia="Times New Roman" w:hAnsi="Arial" w:cs="Times New Roman"/>
          <w:szCs w:val="24"/>
          <w:lang w:eastAsia="pl-PL"/>
        </w:rPr>
        <w:t xml:space="preserve">powierzchnią gruntu, jednocześnie zastosowane zostanie </w:t>
      </w:r>
      <w:r>
        <w:rPr>
          <w:rFonts w:ascii="Arial, sans-serif" w:eastAsia="Times New Roman" w:hAnsi="Arial, sans-serif" w:cs="Times New Roman"/>
          <w:szCs w:val="24"/>
          <w:lang w:eastAsia="pl-PL"/>
        </w:rPr>
        <w:t xml:space="preserve">ogrodzenie pozbawione zakończeń ostrymi elementami w postaci </w:t>
      </w:r>
      <w:proofErr w:type="gramStart"/>
      <w:r>
        <w:rPr>
          <w:rFonts w:ascii="Arial, sans-serif" w:eastAsia="Times New Roman" w:hAnsi="Arial, sans-serif" w:cs="Times New Roman"/>
          <w:szCs w:val="24"/>
          <w:lang w:eastAsia="pl-PL"/>
        </w:rPr>
        <w:t>kolców,</w:t>
      </w:r>
      <w:proofErr w:type="gramEnd"/>
      <w:r>
        <w:rPr>
          <w:rFonts w:ascii="Arial, sans-serif" w:eastAsia="Times New Roman" w:hAnsi="Arial, sans-serif" w:cs="Times New Roman"/>
          <w:szCs w:val="24"/>
          <w:lang w:eastAsia="pl-PL"/>
        </w:rPr>
        <w:t xml:space="preserve"> czy drutu kolczastego</w:t>
      </w:r>
      <w:r>
        <w:rPr>
          <w:rFonts w:ascii="Arial" w:eastAsia="Times New Roman" w:hAnsi="Arial" w:cs="Times New Roman"/>
          <w:szCs w:val="24"/>
          <w:lang w:eastAsia="pl-PL"/>
        </w:rPr>
        <w:t>;</w:t>
      </w:r>
    </w:p>
    <w:p w14:paraId="3B2AB054" w14:textId="77777777" w:rsidR="00FD7CC4" w:rsidRDefault="005A58F8">
      <w:pPr>
        <w:pStyle w:val="Standard"/>
        <w:numPr>
          <w:ilvl w:val="0"/>
          <w:numId w:val="1"/>
        </w:numPr>
      </w:pPr>
      <w:r>
        <w:rPr>
          <w:rFonts w:ascii="Arial, sans-serif" w:eastAsia="Times New Roman" w:hAnsi="Arial, sans-serif" w:cs="Times New Roman"/>
          <w:szCs w:val="24"/>
          <w:lang w:eastAsia="pl-PL"/>
        </w:rPr>
        <w:t>stoły montażowe pod panele, ogrodzenie oraz obiekty wchodzące w skład farmy fotowoltaicznej wykonane będą w odcieniach szarości lub zieleni w celu ograniczenia widoczności obiektów w krajobrazie;</w:t>
      </w:r>
    </w:p>
    <w:p w14:paraId="6FBB4F0B" w14:textId="77777777" w:rsidR="00FD7CC4" w:rsidRDefault="005A58F8">
      <w:pPr>
        <w:pStyle w:val="Standard"/>
        <w:numPr>
          <w:ilvl w:val="0"/>
          <w:numId w:val="1"/>
        </w:numPr>
      </w:pPr>
      <w:r>
        <w:rPr>
          <w:rFonts w:ascii="Arial, sans-serif" w:eastAsia="Times New Roman" w:hAnsi="Arial, sans-serif" w:cs="Times New Roman"/>
          <w:szCs w:val="24"/>
          <w:lang w:eastAsia="pl-PL"/>
        </w:rPr>
        <w:t>prace budowlane prowadzone będą poza sezonem lęgowym.</w:t>
      </w:r>
    </w:p>
    <w:p w14:paraId="7FD4529A" w14:textId="77777777" w:rsidR="00FD7CC4" w:rsidRPr="00641585" w:rsidRDefault="005A58F8">
      <w:pPr>
        <w:pStyle w:val="Standard"/>
        <w:tabs>
          <w:tab w:val="center" w:pos="7371"/>
        </w:tabs>
        <w:spacing w:before="360"/>
        <w:rPr>
          <w:rFonts w:ascii="Arial" w:eastAsia="Times New Roman" w:hAnsi="Arial" w:cs="Times New Roman"/>
          <w:szCs w:val="24"/>
          <w:lang w:eastAsia="pl-PL"/>
        </w:rPr>
      </w:pPr>
      <w:r>
        <w:rPr>
          <w:rFonts w:ascii="Arial" w:eastAsia="Times New Roman" w:hAnsi="Arial" w:cs="Times New Roman"/>
          <w:szCs w:val="24"/>
          <w:lang w:eastAsia="pl-PL"/>
        </w:rPr>
        <w:tab/>
      </w:r>
      <w:r w:rsidRPr="00641585">
        <w:rPr>
          <w:rFonts w:ascii="Arial" w:eastAsia="Times New Roman" w:hAnsi="Arial" w:cs="Times New Roman"/>
          <w:szCs w:val="24"/>
          <w:lang w:eastAsia="pl-PL"/>
        </w:rPr>
        <w:t>Burmistrz Polanowa</w:t>
      </w:r>
    </w:p>
    <w:p w14:paraId="0F71D6A8" w14:textId="77777777" w:rsidR="00FD7CC4" w:rsidRPr="00641585" w:rsidRDefault="005A58F8">
      <w:pPr>
        <w:pStyle w:val="Standard"/>
        <w:tabs>
          <w:tab w:val="center" w:pos="7371"/>
        </w:tabs>
      </w:pPr>
      <w:r w:rsidRPr="00641585">
        <w:rPr>
          <w:rFonts w:ascii="Arial" w:eastAsia="Times New Roman" w:hAnsi="Arial" w:cs="Times New Roman"/>
          <w:szCs w:val="24"/>
          <w:lang w:eastAsia="pl-PL"/>
        </w:rPr>
        <w:tab/>
        <w:t>Grzegorz Lipski</w:t>
      </w:r>
    </w:p>
    <w:sectPr w:rsidR="00FD7CC4" w:rsidRPr="00641585">
      <w:footerReference w:type="default" r:id="rId7"/>
      <w:pgSz w:w="11906" w:h="16838"/>
      <w:pgMar w:top="708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821E5" w14:textId="77777777" w:rsidR="00A170CE" w:rsidRDefault="00A170CE">
      <w:pPr>
        <w:spacing w:after="0" w:line="240" w:lineRule="auto"/>
      </w:pPr>
      <w:r>
        <w:separator/>
      </w:r>
    </w:p>
  </w:endnote>
  <w:endnote w:type="continuationSeparator" w:id="0">
    <w:p w14:paraId="4FDF1EAF" w14:textId="77777777" w:rsidR="00A170CE" w:rsidRDefault="00A17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A170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A05E3" w14:textId="77777777" w:rsidR="00A170CE" w:rsidRDefault="00A170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723A5F" w14:textId="77777777" w:rsidR="00A170CE" w:rsidRDefault="00A17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5959E0"/>
    <w:rsid w:val="005A58F8"/>
    <w:rsid w:val="00641585"/>
    <w:rsid w:val="007760B0"/>
    <w:rsid w:val="00A170CE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../Downloads/1630522197_zalacznik-do-decyzji%20(2).odt/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3</cp:revision>
  <cp:lastPrinted>2021-11-29T07:07:00Z</cp:lastPrinted>
  <dcterms:created xsi:type="dcterms:W3CDTF">2021-11-29T07:08:00Z</dcterms:created>
  <dcterms:modified xsi:type="dcterms:W3CDTF">2021-12-02T12:46:00Z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