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6C53" w:rsidRDefault="00000000">
      <w:pPr>
        <w:pStyle w:val="Standard"/>
        <w:spacing w:after="0"/>
        <w:jc w:val="right"/>
      </w:pPr>
      <w:r>
        <w:rPr>
          <w:rFonts w:ascii="Arial" w:hAnsi="Arial" w:cs="Arial"/>
          <w:color w:val="000000"/>
        </w:rPr>
        <w:t xml:space="preserve">Polanów, </w:t>
      </w:r>
      <w:r>
        <w:rPr>
          <w:rFonts w:ascii="Arial" w:hAnsi="Arial" w:cs="Arial"/>
        </w:rPr>
        <w:t>dnia 29 września 2025 r.</w:t>
      </w:r>
    </w:p>
    <w:p w:rsidR="00006C53" w:rsidRDefault="00000000">
      <w:pPr>
        <w:pStyle w:val="Standard"/>
        <w:spacing w:after="0"/>
        <w:ind w:firstLine="0"/>
      </w:pPr>
      <w:r>
        <w:rPr>
          <w:rFonts w:ascii="Arial" w:hAnsi="Arial" w:cs="Arial"/>
          <w:b/>
        </w:rPr>
        <w:t>Burmistrz Polanowa</w:t>
      </w:r>
      <w:r>
        <w:rPr>
          <w:rFonts w:ascii="Arial" w:hAnsi="Arial" w:cs="Arial"/>
          <w:b/>
        </w:rPr>
        <w:tab/>
      </w:r>
    </w:p>
    <w:p w:rsidR="00006C53" w:rsidRDefault="00000000">
      <w:pPr>
        <w:pStyle w:val="Standard"/>
        <w:spacing w:after="0"/>
        <w:ind w:firstLine="0"/>
        <w:rPr>
          <w:rFonts w:ascii="Arial" w:hAnsi="Arial" w:cs="Arial"/>
          <w:b/>
        </w:rPr>
      </w:pPr>
      <w:r>
        <w:rPr>
          <w:rFonts w:ascii="Arial" w:hAnsi="Arial" w:cs="Arial"/>
          <w:b/>
        </w:rPr>
        <w:t>ul. Wolności 4</w:t>
      </w:r>
    </w:p>
    <w:p w:rsidR="00006C53" w:rsidRDefault="00000000">
      <w:pPr>
        <w:pStyle w:val="Standard"/>
        <w:spacing w:after="0"/>
        <w:ind w:firstLine="0"/>
        <w:rPr>
          <w:rFonts w:ascii="Arial" w:hAnsi="Arial" w:cs="Arial"/>
          <w:b/>
        </w:rPr>
      </w:pPr>
      <w:r>
        <w:rPr>
          <w:rFonts w:ascii="Arial" w:hAnsi="Arial" w:cs="Arial"/>
          <w:b/>
        </w:rPr>
        <w:t>76-010 Polanów</w:t>
      </w:r>
    </w:p>
    <w:p w:rsidR="00006C53" w:rsidRDefault="00000000">
      <w:pPr>
        <w:pStyle w:val="Standard"/>
        <w:spacing w:after="0"/>
        <w:ind w:firstLine="0"/>
        <w:rPr>
          <w:rFonts w:ascii="Arial" w:eastAsia="Times New Roman" w:hAnsi="Arial" w:cs="Arial"/>
        </w:rPr>
      </w:pPr>
      <w:r>
        <w:rPr>
          <w:rFonts w:ascii="Arial" w:eastAsia="Times New Roman" w:hAnsi="Arial" w:cs="Arial"/>
        </w:rPr>
        <w:t>GNR.IV.6220.8.2023.17</w:t>
      </w:r>
    </w:p>
    <w:p w:rsidR="00006C53" w:rsidRDefault="00000000">
      <w:pPr>
        <w:pStyle w:val="Standard"/>
        <w:spacing w:before="240" w:after="240"/>
        <w:ind w:firstLine="0"/>
        <w:jc w:val="center"/>
        <w:rPr>
          <w:rFonts w:ascii="Arial" w:hAnsi="Arial" w:cs="Arial"/>
          <w:b/>
        </w:rPr>
      </w:pPr>
      <w:r>
        <w:rPr>
          <w:rFonts w:ascii="Arial" w:hAnsi="Arial" w:cs="Arial"/>
          <w:b/>
        </w:rPr>
        <w:t>DECYZJA</w:t>
      </w:r>
    </w:p>
    <w:p w:rsidR="00006C53" w:rsidRDefault="00000000">
      <w:pPr>
        <w:spacing w:line="276" w:lineRule="auto"/>
      </w:pPr>
      <w:r>
        <w:rPr>
          <w:rFonts w:ascii="Arial" w:hAnsi="Arial" w:cs="Arial"/>
        </w:rPr>
        <w:t xml:space="preserve">Na podstawie art. 104 ustawy z dnia 14 czerwca 1960 r. Kodeks postępowania </w:t>
      </w:r>
      <w:r>
        <w:rPr>
          <w:rFonts w:ascii="Arial" w:hAnsi="Arial" w:cs="Arial"/>
        </w:rPr>
        <w:br/>
        <w:t>administracyjnego (</w:t>
      </w:r>
      <w:proofErr w:type="spellStart"/>
      <w:r>
        <w:rPr>
          <w:rFonts w:ascii="Arial" w:hAnsi="Arial" w:cs="Arial"/>
        </w:rPr>
        <w:t>t.j</w:t>
      </w:r>
      <w:proofErr w:type="spellEnd"/>
      <w:r>
        <w:rPr>
          <w:rFonts w:ascii="Arial" w:hAnsi="Arial" w:cs="Arial"/>
        </w:rPr>
        <w:t>. Dz. U. z 2024 r. poz. 572) oraz art. 71 ust. 1 i ust. 2 pkt 2, art. 73 ust 1, art. 75 ust. 1 pkt 4, art. 79 ust. 1, art. 80, art. 82, art. 85 ust. 1 i ust. 2 pkt 1 ustawy z dnia 3 października 2008 r. o udostępnianiu informacji o środowisku i jego ochronie, udziale społeczeństwa w ochronie środowiska oraz oddziaływania na środowisko (</w:t>
      </w:r>
      <w:proofErr w:type="spellStart"/>
      <w:r>
        <w:rPr>
          <w:rFonts w:ascii="Arial" w:hAnsi="Arial" w:cs="Arial"/>
        </w:rPr>
        <w:t>t.j</w:t>
      </w:r>
      <w:proofErr w:type="spellEnd"/>
      <w:r>
        <w:rPr>
          <w:rFonts w:ascii="Arial" w:hAnsi="Arial" w:cs="Arial"/>
        </w:rPr>
        <w:t xml:space="preserve"> Dz. U. z 2024 r., poz. 1112), dalej zwaną </w:t>
      </w:r>
      <w:r>
        <w:rPr>
          <w:rFonts w:ascii="Arial" w:hAnsi="Arial" w:cs="Arial"/>
          <w:i/>
        </w:rPr>
        <w:t xml:space="preserve">ustawą </w:t>
      </w:r>
      <w:proofErr w:type="spellStart"/>
      <w:r>
        <w:rPr>
          <w:rFonts w:ascii="Arial" w:hAnsi="Arial" w:cs="Arial"/>
          <w:i/>
        </w:rPr>
        <w:t>ooś</w:t>
      </w:r>
      <w:proofErr w:type="spellEnd"/>
      <w:r>
        <w:rPr>
          <w:rFonts w:ascii="Arial" w:hAnsi="Arial" w:cs="Arial"/>
        </w:rPr>
        <w:t xml:space="preserve">, a także § 3 ust. 1 pkt. 54 lit. „a” Rozporządzenia Rady Ministrów z dnia 10 września 2019 r. w sprawie przedsięwzięć mogących znacząco oddziaływać na środowisko (Dz. U. z 2019 r., poz. 1839), po rozpatrzeniu wniosku z dnia </w:t>
      </w:r>
      <w:r>
        <w:rPr>
          <w:rFonts w:ascii="Arial" w:hAnsi="Arial" w:cs="Arial"/>
        </w:rPr>
        <w:br/>
        <w:t>12 czerwca 2023 r. spółki Projekt Energia, ul. Grunwaldzka 229, 85-451 Bydgoszcz, w sprawie wydania decyzji o środowiskowych uwarunkowaniach dla przedsięwzięcia polegającego na:</w:t>
      </w:r>
      <w:r>
        <w:rPr>
          <w:rFonts w:ascii="Arial" w:hAnsi="Arial" w:cs="Arial"/>
          <w:iCs/>
        </w:rPr>
        <w:t xml:space="preserve"> ,,Budowie farmy fotowoltaicznej o mocy do 3 MW oraz magazynów energii o mocy do 0,3 GW wraz z infrastrukturą towarzyszącą – Polanów 1”, na działce nr 47 obręb Gołogóra</w:t>
      </w:r>
      <w:r>
        <w:rPr>
          <w:rFonts w:ascii="Arial" w:hAnsi="Arial" w:cs="Arial"/>
        </w:rPr>
        <w:t xml:space="preserve"> i przeprowadzeniu oceny oddziaływania przedsięwzięcia na środowisko,</w:t>
      </w:r>
    </w:p>
    <w:p w:rsidR="00006C53" w:rsidRDefault="00000000">
      <w:pPr>
        <w:pStyle w:val="Akapitzlist"/>
        <w:numPr>
          <w:ilvl w:val="0"/>
          <w:numId w:val="20"/>
        </w:numPr>
        <w:spacing w:before="240" w:after="240"/>
        <w:rPr>
          <w:rFonts w:ascii="Arial" w:eastAsia="Times New Roman" w:hAnsi="Arial" w:cs="Arial"/>
          <w:b/>
          <w:lang w:eastAsia="pl-PL"/>
        </w:rPr>
      </w:pPr>
      <w:r>
        <w:rPr>
          <w:rFonts w:ascii="Arial" w:eastAsia="Times New Roman" w:hAnsi="Arial" w:cs="Arial"/>
          <w:b/>
          <w:lang w:eastAsia="pl-PL"/>
        </w:rPr>
        <w:t>Orzekam realizację przedmiotowego przedsięwzięcia.</w:t>
      </w:r>
    </w:p>
    <w:p w:rsidR="00006C53" w:rsidRDefault="00000000">
      <w:pPr>
        <w:pStyle w:val="Standard"/>
        <w:numPr>
          <w:ilvl w:val="0"/>
          <w:numId w:val="20"/>
        </w:numPr>
        <w:spacing w:after="240"/>
      </w:pPr>
      <w:r>
        <w:rPr>
          <w:rFonts w:ascii="Arial" w:eastAsia="Times New Roman" w:hAnsi="Arial" w:cs="Arial"/>
          <w:b/>
          <w:lang w:eastAsia="pl-PL"/>
        </w:rPr>
        <w:t>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rsidR="00006C53" w:rsidRDefault="00000000">
      <w:pPr>
        <w:pStyle w:val="Standard"/>
        <w:numPr>
          <w:ilvl w:val="0"/>
          <w:numId w:val="21"/>
        </w:numPr>
        <w:spacing w:after="0"/>
        <w:rPr>
          <w:rFonts w:ascii="Arial" w:hAnsi="Arial" w:cs="Arial"/>
        </w:rPr>
      </w:pPr>
      <w:r>
        <w:rPr>
          <w:rFonts w:ascii="Arial" w:hAnsi="Arial" w:cs="Arial"/>
        </w:rPr>
        <w:t>Prace budowlane prowadzić w porze dziennej, w godzinach 6:00-22:00.</w:t>
      </w:r>
    </w:p>
    <w:p w:rsidR="00006C53" w:rsidRDefault="00000000">
      <w:pPr>
        <w:pStyle w:val="Standard"/>
        <w:numPr>
          <w:ilvl w:val="0"/>
          <w:numId w:val="21"/>
        </w:numPr>
        <w:spacing w:after="0"/>
        <w:rPr>
          <w:rFonts w:ascii="Arial" w:hAnsi="Arial" w:cs="Arial"/>
        </w:rPr>
      </w:pPr>
      <w:r>
        <w:rPr>
          <w:rFonts w:ascii="Arial" w:hAnsi="Arial" w:cs="Arial"/>
        </w:rPr>
        <w:t>Inwestycję zlokalizować jedynie w obrębie gruntów dotychczas wykorzystywanych</w:t>
      </w:r>
    </w:p>
    <w:p w:rsidR="00006C53" w:rsidRDefault="00000000">
      <w:pPr>
        <w:pStyle w:val="Standard"/>
        <w:spacing w:after="0"/>
        <w:ind w:left="851" w:hanging="851"/>
        <w:rPr>
          <w:rFonts w:ascii="Arial" w:hAnsi="Arial" w:cs="Arial"/>
        </w:rPr>
      </w:pPr>
      <w:r>
        <w:rPr>
          <w:rFonts w:ascii="Arial" w:hAnsi="Arial" w:cs="Arial"/>
        </w:rPr>
        <w:t xml:space="preserve"> rolniczo, zgodnie z planem zagospodarowania terenu dołączonym do „raportu </w:t>
      </w:r>
      <w:proofErr w:type="spellStart"/>
      <w:r>
        <w:rPr>
          <w:rFonts w:ascii="Arial" w:hAnsi="Arial" w:cs="Arial"/>
        </w:rPr>
        <w:t>ooś</w:t>
      </w:r>
      <w:proofErr w:type="spellEnd"/>
      <w:r>
        <w:rPr>
          <w:rFonts w:ascii="Arial" w:hAnsi="Arial" w:cs="Arial"/>
        </w:rPr>
        <w:t>”.</w:t>
      </w:r>
    </w:p>
    <w:p w:rsidR="00006C53" w:rsidRDefault="00000000">
      <w:pPr>
        <w:pStyle w:val="Standard"/>
        <w:numPr>
          <w:ilvl w:val="0"/>
          <w:numId w:val="21"/>
        </w:numPr>
        <w:spacing w:after="0"/>
        <w:ind w:left="0" w:firstLine="284"/>
        <w:rPr>
          <w:rFonts w:ascii="Arial" w:hAnsi="Arial" w:cs="Arial"/>
        </w:rPr>
      </w:pPr>
      <w:r>
        <w:rPr>
          <w:rFonts w:ascii="Arial" w:hAnsi="Arial" w:cs="Arial"/>
        </w:rPr>
        <w:t>W przypadku rozpoczęcia robót ziemnych w okresie lęgowym ptaków, czynności te można prowadzić wyłącznie po wykonaniu pod nadzorem ornitologicznym przeglądu terenu pod kątem jego zasiedlenia przez ptaki i potwierdzeniu braku stanowisk lęgowych. Kontrolę zajęcia siedlisk należy przeprowadzić nie wcześniej niż 3 dni przed rozpoczęciem ww. prac. W przypadku wykrycia lęgów awifauny, należy zaprzestać prowadzenia prac do czasu stwierdzenia przez ornitologa wyprowadzenia młodych z gniazd.</w:t>
      </w:r>
    </w:p>
    <w:p w:rsidR="00006C53" w:rsidRDefault="00000000">
      <w:pPr>
        <w:pStyle w:val="Standard"/>
        <w:numPr>
          <w:ilvl w:val="0"/>
          <w:numId w:val="21"/>
        </w:numPr>
        <w:spacing w:after="0"/>
        <w:ind w:left="0" w:firstLine="284"/>
        <w:rPr>
          <w:rFonts w:ascii="Arial" w:hAnsi="Arial" w:cs="Arial"/>
        </w:rPr>
      </w:pPr>
      <w:r>
        <w:rPr>
          <w:rFonts w:ascii="Arial" w:hAnsi="Arial" w:cs="Arial"/>
        </w:rPr>
        <w:t>W trakcie prac budowlanych zabezpieczyć miejsca stanowiące potencjalne pułapki</w:t>
      </w:r>
    </w:p>
    <w:p w:rsidR="00006C53" w:rsidRDefault="00000000">
      <w:pPr>
        <w:autoSpaceDE w:val="0"/>
        <w:spacing w:line="276" w:lineRule="auto"/>
        <w:ind w:firstLine="0"/>
        <w:textAlignment w:val="auto"/>
        <w:rPr>
          <w:rFonts w:ascii="Arial" w:hAnsi="Arial" w:cs="Arial"/>
        </w:rPr>
      </w:pPr>
      <w:r>
        <w:rPr>
          <w:rFonts w:ascii="Arial" w:hAnsi="Arial" w:cs="Arial"/>
        </w:rPr>
        <w:t>antropogeniczne dla zwierząt, poprzez ich zakrycie, prowadzić regularne przeglądy</w:t>
      </w:r>
    </w:p>
    <w:p w:rsidR="00006C53" w:rsidRDefault="00000000">
      <w:pPr>
        <w:autoSpaceDE w:val="0"/>
        <w:spacing w:line="276" w:lineRule="auto"/>
        <w:ind w:firstLine="0"/>
        <w:textAlignment w:val="auto"/>
        <w:rPr>
          <w:rFonts w:ascii="Arial" w:hAnsi="Arial" w:cs="Arial"/>
        </w:rPr>
      </w:pPr>
      <w:r>
        <w:rPr>
          <w:rFonts w:ascii="Arial" w:hAnsi="Arial" w:cs="Arial"/>
        </w:rPr>
        <w:t>ww. miejsc pod kątem obecności w nich zwierząt. W przypadku stwierdzenia</w:t>
      </w:r>
    </w:p>
    <w:p w:rsidR="00006C53" w:rsidRDefault="00000000">
      <w:pPr>
        <w:autoSpaceDE w:val="0"/>
        <w:spacing w:line="276" w:lineRule="auto"/>
        <w:ind w:firstLine="0"/>
        <w:textAlignment w:val="auto"/>
        <w:rPr>
          <w:rFonts w:ascii="Arial" w:hAnsi="Arial" w:cs="Arial"/>
        </w:rPr>
      </w:pPr>
      <w:r>
        <w:rPr>
          <w:rFonts w:ascii="Arial" w:hAnsi="Arial" w:cs="Arial"/>
        </w:rPr>
        <w:t>uwięzienia zwierząt należy je bezzwłocznie odłowić i przenieść w bezpieczne</w:t>
      </w:r>
    </w:p>
    <w:p w:rsidR="00006C53" w:rsidRDefault="00000000">
      <w:pPr>
        <w:autoSpaceDE w:val="0"/>
        <w:spacing w:line="276" w:lineRule="auto"/>
        <w:ind w:firstLine="0"/>
        <w:textAlignment w:val="auto"/>
        <w:rPr>
          <w:rFonts w:ascii="Arial" w:hAnsi="Arial" w:cs="Arial"/>
        </w:rPr>
      </w:pPr>
      <w:r>
        <w:rPr>
          <w:rFonts w:ascii="Arial" w:hAnsi="Arial" w:cs="Arial"/>
        </w:rPr>
        <w:t>miejsce, poza teren inwestycji, zgodnie z przepisami prawa.</w:t>
      </w:r>
    </w:p>
    <w:p w:rsidR="00006C53" w:rsidRDefault="00000000">
      <w:pPr>
        <w:pStyle w:val="Akapitzlist"/>
        <w:numPr>
          <w:ilvl w:val="0"/>
          <w:numId w:val="21"/>
        </w:numPr>
        <w:autoSpaceDE w:val="0"/>
        <w:spacing w:after="0"/>
        <w:ind w:left="0" w:firstLine="284"/>
        <w:textAlignment w:val="auto"/>
        <w:rPr>
          <w:rFonts w:ascii="Arial" w:hAnsi="Arial" w:cs="Arial"/>
        </w:rPr>
      </w:pPr>
      <w:r>
        <w:rPr>
          <w:rFonts w:ascii="Arial" w:hAnsi="Arial" w:cs="Arial"/>
        </w:rPr>
        <w:t>Infrastrukturę techniczną towarzyszącą instalacji fotowoltaicznej wykonać w kolorach stonowanych, niewyróżniających się z otoczenia (w odcieniu zieleni, brązu lub szarości).</w:t>
      </w:r>
    </w:p>
    <w:p w:rsidR="00006C53" w:rsidRDefault="00000000">
      <w:pPr>
        <w:pStyle w:val="Akapitzlist"/>
        <w:numPr>
          <w:ilvl w:val="0"/>
          <w:numId w:val="21"/>
        </w:numPr>
        <w:autoSpaceDE w:val="0"/>
        <w:spacing w:after="0"/>
        <w:ind w:left="0" w:firstLine="284"/>
        <w:textAlignment w:val="auto"/>
        <w:rPr>
          <w:rFonts w:ascii="Arial" w:hAnsi="Arial" w:cs="Arial"/>
        </w:rPr>
      </w:pPr>
      <w:r>
        <w:rPr>
          <w:rFonts w:ascii="Arial" w:hAnsi="Arial" w:cs="Arial"/>
        </w:rPr>
        <w:t>Teren przedmiotowej farmy ogrodzić z zachowaniem minimum 20 cm wolnej przestrzeni nad gruntem, w celu umożliwienia swobodnej wędrówki drobnej faunie.</w:t>
      </w:r>
    </w:p>
    <w:p w:rsidR="00006C53" w:rsidRDefault="00000000">
      <w:pPr>
        <w:pStyle w:val="Akapitzlist"/>
        <w:numPr>
          <w:ilvl w:val="0"/>
          <w:numId w:val="21"/>
        </w:numPr>
        <w:autoSpaceDE w:val="0"/>
        <w:spacing w:after="0"/>
        <w:ind w:left="0" w:firstLine="284"/>
        <w:textAlignment w:val="auto"/>
        <w:rPr>
          <w:rFonts w:ascii="Arial" w:hAnsi="Arial" w:cs="Arial"/>
        </w:rPr>
      </w:pPr>
      <w:r>
        <w:rPr>
          <w:rFonts w:ascii="Arial" w:hAnsi="Arial" w:cs="Arial"/>
        </w:rPr>
        <w:t xml:space="preserve">Zastosować ogrodzenie pozbawione zakończeń ostrymi elementami w postaci </w:t>
      </w:r>
      <w:proofErr w:type="gramStart"/>
      <w:r>
        <w:rPr>
          <w:rFonts w:ascii="Arial" w:hAnsi="Arial" w:cs="Arial"/>
        </w:rPr>
        <w:t>kolców,</w:t>
      </w:r>
      <w:proofErr w:type="gramEnd"/>
      <w:r>
        <w:rPr>
          <w:rFonts w:ascii="Arial" w:hAnsi="Arial" w:cs="Arial"/>
        </w:rPr>
        <w:t xml:space="preserve"> czy drutu kolczastego.</w:t>
      </w:r>
    </w:p>
    <w:p w:rsidR="00006C53" w:rsidRDefault="00000000">
      <w:pPr>
        <w:pStyle w:val="Akapitzlist"/>
        <w:numPr>
          <w:ilvl w:val="0"/>
          <w:numId w:val="21"/>
        </w:numPr>
        <w:autoSpaceDE w:val="0"/>
        <w:spacing w:after="0"/>
        <w:ind w:left="0" w:firstLine="284"/>
        <w:textAlignment w:val="auto"/>
        <w:rPr>
          <w:rFonts w:ascii="Arial" w:hAnsi="Arial" w:cs="Arial"/>
        </w:rPr>
      </w:pPr>
      <w:r>
        <w:rPr>
          <w:rFonts w:ascii="Arial" w:hAnsi="Arial" w:cs="Arial"/>
        </w:rPr>
        <w:lastRenderedPageBreak/>
        <w:t>W przypadku konieczności mycia paneli wykorzystywać do tego celu wodę, przy czym przy silniejszych zabrudzeniach dopuszcza się stosowanie środków biodegradowalnych, obojętnych dla środowiska.</w:t>
      </w:r>
    </w:p>
    <w:p w:rsidR="00006C53" w:rsidRDefault="00000000">
      <w:pPr>
        <w:pStyle w:val="Akapitzlist"/>
        <w:numPr>
          <w:ilvl w:val="0"/>
          <w:numId w:val="21"/>
        </w:numPr>
        <w:autoSpaceDE w:val="0"/>
        <w:spacing w:after="0"/>
        <w:ind w:left="0" w:firstLine="284"/>
        <w:textAlignment w:val="auto"/>
        <w:rPr>
          <w:rFonts w:ascii="Arial" w:hAnsi="Arial" w:cs="Arial"/>
        </w:rPr>
      </w:pPr>
      <w:r>
        <w:rPr>
          <w:rFonts w:ascii="Arial" w:hAnsi="Arial" w:cs="Arial"/>
        </w:rPr>
        <w:t>Na etapie eksploatacji przedsięwzięcia nie stosować ciągłego oświetlenia terenu farmy fotowoltaicznej i ogrodzenia w porze nocnej.</w:t>
      </w:r>
    </w:p>
    <w:p w:rsidR="00006C53" w:rsidRDefault="00000000">
      <w:pPr>
        <w:pStyle w:val="Akapitzlist"/>
        <w:numPr>
          <w:ilvl w:val="0"/>
          <w:numId w:val="21"/>
        </w:numPr>
        <w:spacing w:after="0"/>
        <w:ind w:left="0" w:firstLine="284"/>
        <w:rPr>
          <w:rFonts w:ascii="Arial" w:hAnsi="Arial" w:cs="Arial"/>
        </w:rPr>
      </w:pPr>
      <w:r>
        <w:rPr>
          <w:rFonts w:ascii="Arial" w:hAnsi="Arial" w:cs="Arial"/>
        </w:rPr>
        <w:t>Zachować szczególną ostrożność podczas stosowania wszelkiego rodzaju maszyn na placu budowy; sprawdzenia, czy używane do budowy maszyny i inne urządzenia techniczne spełniają ustalone wymagania ochrony środowiska dopuszczające je do produkcji i obrotu; odpowiedniej organizacji robót, aby na skutek braku porządku, niewłaściwego zabezpieczenia materiałów maszyn, urządzeń i samochodów przed awariami nie doszło do skażeń i zanieczyszczeń gruntu.</w:t>
      </w:r>
    </w:p>
    <w:p w:rsidR="00006C53" w:rsidRDefault="00000000">
      <w:pPr>
        <w:pStyle w:val="Akapitzlist"/>
        <w:numPr>
          <w:ilvl w:val="0"/>
          <w:numId w:val="21"/>
        </w:numPr>
        <w:spacing w:after="0"/>
        <w:ind w:left="0" w:firstLine="284"/>
        <w:rPr>
          <w:rFonts w:ascii="Arial" w:hAnsi="Arial" w:cs="Arial"/>
        </w:rPr>
      </w:pPr>
      <w:r>
        <w:rPr>
          <w:rFonts w:ascii="Arial" w:hAnsi="Arial" w:cs="Arial"/>
        </w:rPr>
        <w:t>Wyposażyć plac budowy w środki służące do neutralizacji rozlanych substancji ropopochodnych, a w przypadku wystąpienia awaryjnego wycieku substancji ropopochodnych usunąć wyciek np. za pomocą sorbetów. Zużyty sorbent przekazać do utylizacji. W przypadku skażenia gruntu, należy przeprowadzić, za pośrednictwem wykwalifikowanej firmy, rekultywację skażonego terenu.</w:t>
      </w:r>
    </w:p>
    <w:p w:rsidR="00006C53" w:rsidRDefault="00000000">
      <w:pPr>
        <w:pStyle w:val="Akapitzlist"/>
        <w:numPr>
          <w:ilvl w:val="0"/>
          <w:numId w:val="21"/>
        </w:numPr>
        <w:spacing w:after="0"/>
        <w:ind w:left="0" w:firstLine="284"/>
        <w:rPr>
          <w:rFonts w:ascii="Arial" w:hAnsi="Arial" w:cs="Arial"/>
        </w:rPr>
      </w:pPr>
      <w:r>
        <w:rPr>
          <w:rFonts w:ascii="Arial" w:hAnsi="Arial" w:cs="Arial"/>
        </w:rPr>
        <w:t>Nie należy dokonywać naprawy sprzętu i urządzeń oraz uzupełnienia paliwa na terenie budowy.</w:t>
      </w:r>
    </w:p>
    <w:p w:rsidR="00006C53" w:rsidRDefault="00000000">
      <w:pPr>
        <w:pStyle w:val="Akapitzlist"/>
        <w:numPr>
          <w:ilvl w:val="0"/>
          <w:numId w:val="21"/>
        </w:numPr>
        <w:spacing w:after="0"/>
        <w:ind w:left="0" w:firstLine="284"/>
        <w:rPr>
          <w:rFonts w:ascii="Arial" w:hAnsi="Arial" w:cs="Arial"/>
        </w:rPr>
      </w:pPr>
      <w:r>
        <w:rPr>
          <w:rFonts w:ascii="Arial" w:hAnsi="Arial" w:cs="Arial"/>
        </w:rPr>
        <w:t>Wyposażyć budowę w przenośne sanitariaty, w których ścieki bytowe będą gromadzone w szczelnym zbiorniku bezodpływowym i który będzie regularnie opróżniany przez uprawnione podmioty.</w:t>
      </w:r>
    </w:p>
    <w:p w:rsidR="00006C53" w:rsidRDefault="00000000">
      <w:pPr>
        <w:pStyle w:val="Akapitzlist"/>
        <w:numPr>
          <w:ilvl w:val="0"/>
          <w:numId w:val="21"/>
        </w:numPr>
        <w:spacing w:after="0"/>
        <w:ind w:left="0" w:firstLine="284"/>
        <w:rPr>
          <w:rFonts w:ascii="Arial" w:hAnsi="Arial" w:cs="Arial"/>
        </w:rPr>
      </w:pPr>
      <w:r>
        <w:rPr>
          <w:rFonts w:ascii="Arial" w:hAnsi="Arial" w:cs="Arial"/>
        </w:rPr>
        <w:t>Odpady z terenu budowy należy gromadzić w wydzielonym miejscu posiadającym szczelne podłoże i regularnie oddawać do utylizacji.</w:t>
      </w:r>
    </w:p>
    <w:p w:rsidR="00006C53" w:rsidRDefault="00000000">
      <w:pPr>
        <w:pStyle w:val="Akapitzlist"/>
        <w:numPr>
          <w:ilvl w:val="0"/>
          <w:numId w:val="21"/>
        </w:numPr>
        <w:spacing w:after="0"/>
        <w:ind w:left="0" w:firstLine="284"/>
        <w:rPr>
          <w:rFonts w:ascii="Arial" w:hAnsi="Arial" w:cs="Arial"/>
        </w:rPr>
      </w:pPr>
      <w:r>
        <w:rPr>
          <w:rFonts w:ascii="Arial" w:hAnsi="Arial" w:cs="Arial"/>
        </w:rPr>
        <w:t>W przypadku zastosowania transformatora olejowego należy wykonać zabezpieczenia przed przedostaniem się substancji olejowych do środowiska gruntowo-wodnego.</w:t>
      </w:r>
    </w:p>
    <w:p w:rsidR="00006C53" w:rsidRDefault="00000000">
      <w:pPr>
        <w:pStyle w:val="Akapitzlist"/>
        <w:numPr>
          <w:ilvl w:val="0"/>
          <w:numId w:val="21"/>
        </w:numPr>
        <w:spacing w:after="0"/>
        <w:ind w:left="0" w:firstLine="284"/>
        <w:rPr>
          <w:rFonts w:ascii="Arial" w:hAnsi="Arial" w:cs="Arial"/>
        </w:rPr>
      </w:pPr>
      <w:r>
        <w:rPr>
          <w:rFonts w:ascii="Arial" w:hAnsi="Arial" w:cs="Arial"/>
        </w:rPr>
        <w:t>Podczas prowadzenia wykopów pod inwestycję, należy zwracać uwagę na urządzenia melioracyjne (rowy, rurociągi podziemne). W przypadku ich uszkodzenia lub zniszczenia, należy dokonać napraw, które powinny być przeprowadzone pod nadzorem osób posiadających uprawnienia w tym zakresie.</w:t>
      </w:r>
    </w:p>
    <w:p w:rsidR="00006C53" w:rsidRDefault="00006C53">
      <w:pPr>
        <w:autoSpaceDE w:val="0"/>
        <w:spacing w:line="276" w:lineRule="auto"/>
        <w:textAlignment w:val="auto"/>
        <w:rPr>
          <w:rFonts w:ascii="Arial" w:hAnsi="Arial" w:cs="Arial"/>
        </w:rPr>
      </w:pPr>
    </w:p>
    <w:p w:rsidR="00006C53" w:rsidRDefault="00000000">
      <w:pPr>
        <w:pStyle w:val="Akapitzlist"/>
        <w:numPr>
          <w:ilvl w:val="0"/>
          <w:numId w:val="20"/>
        </w:numPr>
        <w:autoSpaceDE w:val="0"/>
        <w:textAlignment w:val="auto"/>
        <w:rPr>
          <w:rFonts w:ascii="Arial" w:hAnsi="Arial" w:cs="Arial"/>
          <w:b/>
          <w:bCs/>
        </w:rPr>
      </w:pPr>
      <w:r>
        <w:rPr>
          <w:rFonts w:ascii="Arial" w:hAnsi="Arial" w:cs="Arial"/>
          <w:b/>
          <w:bCs/>
        </w:rPr>
        <w:t xml:space="preserve">W dokumentacji wymaganej do wydania decyzji wymienionej w art. 72 ust. 1 „ustawy </w:t>
      </w:r>
      <w:proofErr w:type="spellStart"/>
      <w:r>
        <w:rPr>
          <w:rFonts w:ascii="Arial" w:hAnsi="Arial" w:cs="Arial"/>
          <w:b/>
          <w:bCs/>
        </w:rPr>
        <w:t>ooś</w:t>
      </w:r>
      <w:proofErr w:type="spellEnd"/>
      <w:r>
        <w:rPr>
          <w:rFonts w:ascii="Arial" w:hAnsi="Arial" w:cs="Arial"/>
          <w:b/>
          <w:bCs/>
        </w:rPr>
        <w:t>” należy uwzględnić następujące wymagania dotyczące ochrony środowiska:</w:t>
      </w:r>
    </w:p>
    <w:p w:rsidR="00006C53" w:rsidRDefault="00000000">
      <w:pPr>
        <w:pStyle w:val="Akapitzlist"/>
        <w:numPr>
          <w:ilvl w:val="0"/>
          <w:numId w:val="22"/>
        </w:numPr>
        <w:autoSpaceDE w:val="0"/>
        <w:spacing w:after="0"/>
        <w:ind w:left="641" w:hanging="357"/>
        <w:textAlignment w:val="auto"/>
      </w:pPr>
      <w:r>
        <w:rPr>
          <w:rFonts w:ascii="Arial" w:hAnsi="Arial" w:cs="Arial"/>
        </w:rPr>
        <w:t>Zaprojektować instalację ogniw fotowoltaicznych o mocy do 3 MW oraz magazyny</w:t>
      </w:r>
      <w:r>
        <w:rPr>
          <w:rFonts w:ascii="Arial" w:hAnsi="Arial" w:cs="Arial"/>
          <w:b/>
          <w:bCs/>
        </w:rPr>
        <w:t xml:space="preserve"> </w:t>
      </w:r>
      <w:r>
        <w:rPr>
          <w:rFonts w:ascii="Arial" w:hAnsi="Arial" w:cs="Arial"/>
        </w:rPr>
        <w:t>energii o mocy do 0,3 GW.</w:t>
      </w:r>
    </w:p>
    <w:p w:rsidR="00006C53" w:rsidRDefault="00000000">
      <w:pPr>
        <w:pStyle w:val="Akapitzlist"/>
        <w:numPr>
          <w:ilvl w:val="0"/>
          <w:numId w:val="22"/>
        </w:numPr>
        <w:autoSpaceDE w:val="0"/>
        <w:spacing w:after="0"/>
        <w:ind w:left="641" w:hanging="357"/>
        <w:textAlignment w:val="auto"/>
      </w:pPr>
      <w:r>
        <w:rPr>
          <w:rFonts w:ascii="Arial" w:hAnsi="Arial" w:cs="Arial"/>
        </w:rPr>
        <w:t>Zastosować moduły fotowoltaiczne o powierzchni antyrefleksyjnej, zwiększającej absorpcję energii promieniowania słonecznego oraz zapobiegającej niepożądanemu efektowi odbicia światła od powierzchni paneli, tzw. zjawisku olśnienia.</w:t>
      </w:r>
    </w:p>
    <w:p w:rsidR="00006C53" w:rsidRDefault="00000000">
      <w:pPr>
        <w:pStyle w:val="Akapitzlist"/>
        <w:numPr>
          <w:ilvl w:val="0"/>
          <w:numId w:val="20"/>
        </w:numPr>
        <w:autoSpaceDE w:val="0"/>
        <w:spacing w:before="240"/>
        <w:textAlignment w:val="auto"/>
        <w:rPr>
          <w:rFonts w:ascii="Arial" w:hAnsi="Arial" w:cs="Arial"/>
          <w:b/>
          <w:bCs/>
        </w:rPr>
      </w:pPr>
      <w:r>
        <w:rPr>
          <w:rFonts w:ascii="Arial" w:hAnsi="Arial" w:cs="Arial"/>
          <w:b/>
          <w:bCs/>
        </w:rPr>
        <w:t xml:space="preserve">Nie nakładam obowiązku przedstawienia analizy </w:t>
      </w:r>
      <w:proofErr w:type="spellStart"/>
      <w:r>
        <w:rPr>
          <w:rFonts w:ascii="Arial" w:hAnsi="Arial" w:cs="Arial"/>
          <w:b/>
          <w:bCs/>
        </w:rPr>
        <w:t>porealizacyjnej</w:t>
      </w:r>
      <w:proofErr w:type="spellEnd"/>
      <w:r>
        <w:rPr>
          <w:rFonts w:ascii="Arial" w:hAnsi="Arial" w:cs="Arial"/>
          <w:b/>
          <w:bCs/>
        </w:rPr>
        <w:t>.</w:t>
      </w:r>
    </w:p>
    <w:p w:rsidR="00006C53" w:rsidRDefault="00000000">
      <w:pPr>
        <w:pStyle w:val="Akapitzlist"/>
        <w:numPr>
          <w:ilvl w:val="0"/>
          <w:numId w:val="20"/>
        </w:numPr>
        <w:autoSpaceDE w:val="0"/>
        <w:spacing w:before="240"/>
        <w:textAlignment w:val="auto"/>
      </w:pPr>
      <w:r>
        <w:rPr>
          <w:rFonts w:ascii="Arial" w:hAnsi="Arial" w:cs="Arial"/>
          <w:b/>
          <w:bCs/>
        </w:rPr>
        <w:t xml:space="preserve">Nie nakładam obowiązku przeprowadzenia ponownej oceny oddziaływania na środowisko oraz postępowania w sprawie transgranicznego oddziaływania na środowisko w ramach postępowania w sprawie wydania decyzji, o której mowa w art. 72 ust. 1 pkt 1 </w:t>
      </w:r>
      <w:r>
        <w:rPr>
          <w:rFonts w:ascii="Arial" w:hAnsi="Arial" w:cs="Arial"/>
          <w:b/>
          <w:bCs/>
          <w:i/>
          <w:iCs/>
        </w:rPr>
        <w:t xml:space="preserve">ustawy </w:t>
      </w:r>
      <w:proofErr w:type="spellStart"/>
      <w:r>
        <w:rPr>
          <w:rFonts w:ascii="Arial" w:hAnsi="Arial" w:cs="Arial"/>
          <w:b/>
          <w:bCs/>
          <w:i/>
          <w:iCs/>
        </w:rPr>
        <w:t>ooś</w:t>
      </w:r>
      <w:proofErr w:type="spellEnd"/>
      <w:r>
        <w:rPr>
          <w:rFonts w:ascii="Arial" w:hAnsi="Arial" w:cs="Arial"/>
          <w:b/>
          <w:bCs/>
        </w:rPr>
        <w:t>.</w:t>
      </w:r>
    </w:p>
    <w:p w:rsidR="00006C53" w:rsidRDefault="00000000">
      <w:pPr>
        <w:pStyle w:val="Standard"/>
        <w:spacing w:before="1080" w:after="240"/>
        <w:ind w:firstLine="0"/>
        <w:jc w:val="center"/>
        <w:rPr>
          <w:rFonts w:ascii="Arial" w:hAnsi="Arial" w:cs="Arial"/>
          <w:b/>
          <w:color w:val="000000"/>
        </w:rPr>
      </w:pPr>
      <w:r>
        <w:rPr>
          <w:rFonts w:ascii="Arial" w:hAnsi="Arial" w:cs="Arial"/>
          <w:b/>
          <w:color w:val="000000"/>
        </w:rPr>
        <w:lastRenderedPageBreak/>
        <w:t>UZASADNIENIE</w:t>
      </w:r>
    </w:p>
    <w:p w:rsidR="00006C53" w:rsidRDefault="00000000">
      <w:pPr>
        <w:spacing w:line="276" w:lineRule="auto"/>
        <w:ind w:firstLine="420"/>
      </w:pPr>
      <w:r>
        <w:rPr>
          <w:rFonts w:ascii="Arial" w:hAnsi="Arial" w:cs="Arial"/>
          <w:color w:val="000000"/>
        </w:rPr>
        <w:t>Procedura oceny oddziaływania planowanego przedsięwzięcia na środowisko została wszczęta w związku ze złożonym w dniu 12 czerwca 2023 r. wnioskiem</w:t>
      </w:r>
      <w:r>
        <w:rPr>
          <w:rFonts w:ascii="Arial" w:hAnsi="Arial" w:cs="Arial"/>
        </w:rPr>
        <w:t xml:space="preserve"> spółki Projekt Energia, ul. Grunwaldzka 229, 85-451 Bydgoszcz</w:t>
      </w:r>
      <w:r>
        <w:rPr>
          <w:rFonts w:ascii="Arial" w:hAnsi="Arial" w:cs="Arial"/>
          <w:iCs/>
          <w:color w:val="000000"/>
        </w:rPr>
        <w:t xml:space="preserve">, w sprawie wydania decyzji o środowiskowych </w:t>
      </w:r>
      <w:r>
        <w:rPr>
          <w:rFonts w:ascii="Arial" w:hAnsi="Arial" w:cs="Arial"/>
          <w:iCs/>
          <w:color w:val="000000"/>
        </w:rPr>
        <w:br/>
        <w:t>uwarunkowaniach dla przedsięwzięcia polegającego na</w:t>
      </w:r>
      <w:proofErr w:type="gramStart"/>
      <w:r>
        <w:rPr>
          <w:rFonts w:ascii="Arial" w:hAnsi="Arial" w:cs="Arial"/>
          <w:iCs/>
          <w:color w:val="000000"/>
        </w:rPr>
        <w:t xml:space="preserve">: </w:t>
      </w:r>
      <w:r>
        <w:rPr>
          <w:rFonts w:ascii="Arial" w:hAnsi="Arial" w:cs="Arial"/>
          <w:iCs/>
        </w:rPr>
        <w:t>,,Budowie</w:t>
      </w:r>
      <w:proofErr w:type="gramEnd"/>
      <w:r>
        <w:rPr>
          <w:rFonts w:ascii="Arial" w:hAnsi="Arial" w:cs="Arial"/>
          <w:iCs/>
        </w:rPr>
        <w:t xml:space="preserve"> farmy fotowoltaicznej </w:t>
      </w:r>
      <w:r>
        <w:rPr>
          <w:rFonts w:ascii="Arial" w:hAnsi="Arial" w:cs="Arial"/>
          <w:iCs/>
        </w:rPr>
        <w:br/>
        <w:t>o mocy do 3 MW oraz magazynów energii o mocy do 0,3 GW wraz z infrastrukturą towarzyszącą – Polanów 1”.</w:t>
      </w:r>
    </w:p>
    <w:p w:rsidR="00006C53" w:rsidRDefault="00000000">
      <w:pPr>
        <w:pStyle w:val="Standard"/>
        <w:spacing w:after="0"/>
        <w:ind w:firstLine="420"/>
      </w:pPr>
      <w:r>
        <w:rPr>
          <w:rFonts w:ascii="Arial" w:hAnsi="Arial" w:cs="Arial"/>
          <w:color w:val="000000"/>
        </w:rPr>
        <w:t xml:space="preserve">Postępowanie administracyjne w sprawie wydania decyzji o środowiskowych uwarunkowaniach dla ww. inwestycji zostało wszczęte zawiadomieniem z dnia 27 czerwca 2023 r. znak: GNR.IV.6220.8.2023.1, o czym zgodnie z art. 61 </w:t>
      </w:r>
      <w:r>
        <w:rPr>
          <w:rStyle w:val="alb"/>
          <w:rFonts w:ascii="Arial" w:hAnsi="Arial" w:cs="Arial"/>
          <w:color w:val="000000"/>
        </w:rPr>
        <w:t>§ 4 kpa poinformowano wszystkie osoby będące stronami w sprawie.</w:t>
      </w:r>
      <w:r>
        <w:rPr>
          <w:rStyle w:val="TekstdymkaZnak"/>
          <w:rFonts w:ascii="Arial" w:hAnsi="Arial" w:cs="Arial"/>
        </w:rPr>
        <w:t xml:space="preserve"> </w:t>
      </w:r>
      <w:r>
        <w:rPr>
          <w:rStyle w:val="alb"/>
          <w:rFonts w:ascii="Arial" w:hAnsi="Arial" w:cs="Arial"/>
        </w:rPr>
        <w:t xml:space="preserve">Z uwagi na fakt, iż liczba stron przekracza 10, zawiadomienia dokonano również w formie obwieszczenia przez udostępnienie na tablicy ogłoszeń i na stronie Biuletynu Informacji Publicznej Urzędu Miejskiego w Polanowie oraz w sołectwie Gołogóra, w myśl art. 74 ust. 3 ustawy </w:t>
      </w:r>
      <w:proofErr w:type="spellStart"/>
      <w:r>
        <w:rPr>
          <w:rStyle w:val="alb"/>
          <w:rFonts w:ascii="Arial" w:hAnsi="Arial" w:cs="Arial"/>
        </w:rPr>
        <w:t>ooś</w:t>
      </w:r>
      <w:proofErr w:type="spellEnd"/>
      <w:r>
        <w:rPr>
          <w:rStyle w:val="alb"/>
          <w:rFonts w:ascii="Arial" w:hAnsi="Arial" w:cs="Arial"/>
        </w:rPr>
        <w:t>, w tych okolicznościach stosuje się przepis art. 49 k.p.a.</w:t>
      </w:r>
    </w:p>
    <w:p w:rsidR="00006C53" w:rsidRDefault="00000000">
      <w:pPr>
        <w:pStyle w:val="Standard"/>
        <w:spacing w:after="0"/>
        <w:ind w:firstLine="420"/>
      </w:pPr>
      <w:r>
        <w:rPr>
          <w:rStyle w:val="alb"/>
          <w:rFonts w:ascii="Arial" w:hAnsi="Arial" w:cs="Arial"/>
          <w:color w:val="000000"/>
        </w:rPr>
        <w:t xml:space="preserve">Planowana inwestycja zgodnie z informacjami zawartymi w karcie informacyjnej przedsięwzięcia została zakwalifikowana do przedsięwzięć mogących potencjalnie znacząco oddziaływać na środowisko na podstawie </w:t>
      </w:r>
      <w:r>
        <w:rPr>
          <w:rFonts w:ascii="Arial" w:hAnsi="Arial" w:cs="Arial"/>
          <w:color w:val="000000"/>
        </w:rPr>
        <w:t xml:space="preserve">§3 ust. 1 pkt 54 lit. „a” </w:t>
      </w:r>
      <w:r>
        <w:rPr>
          <w:rFonts w:ascii="Arial" w:hAnsi="Arial" w:cs="Arial"/>
          <w:bCs/>
          <w:color w:val="000000"/>
        </w:rPr>
        <w:t>Rozporządzenia Rady Ministrów z dnia 10 września 2019 r. w sprawie przedsięwzięć mogących znacząco oddziaływać na środowisko (Dz.U. z 2019 r. poz. 1839).</w:t>
      </w:r>
    </w:p>
    <w:p w:rsidR="00006C53" w:rsidRDefault="00000000">
      <w:pPr>
        <w:pStyle w:val="Standard"/>
        <w:spacing w:after="0"/>
        <w:ind w:firstLine="420"/>
      </w:pPr>
      <w:r>
        <w:rPr>
          <w:rStyle w:val="alb"/>
          <w:rFonts w:ascii="Arial" w:hAnsi="Arial" w:cs="Arial"/>
          <w:color w:val="000000"/>
        </w:rPr>
        <w:t xml:space="preserve">Stosownie do treści art. 59 ust. 1 pkt 2 ustawy </w:t>
      </w:r>
      <w:proofErr w:type="spellStart"/>
      <w:r>
        <w:rPr>
          <w:rStyle w:val="alb"/>
          <w:rFonts w:ascii="Arial" w:hAnsi="Arial" w:cs="Arial"/>
          <w:color w:val="000000"/>
        </w:rPr>
        <w:t>ooś</w:t>
      </w:r>
      <w:proofErr w:type="spellEnd"/>
      <w:r>
        <w:rPr>
          <w:rStyle w:val="alb"/>
          <w:rFonts w:ascii="Arial" w:hAnsi="Arial" w:cs="Arial"/>
          <w:color w:val="000000"/>
        </w:rPr>
        <w:t xml:space="preserve">,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w:t>
      </w:r>
      <w:proofErr w:type="spellStart"/>
      <w:r>
        <w:rPr>
          <w:rStyle w:val="alb"/>
          <w:rFonts w:ascii="Arial" w:hAnsi="Arial" w:cs="Arial"/>
          <w:color w:val="000000"/>
        </w:rPr>
        <w:t>ooś</w:t>
      </w:r>
      <w:proofErr w:type="spellEnd"/>
      <w:r>
        <w:rPr>
          <w:rStyle w:val="alb"/>
          <w:rFonts w:ascii="Arial" w:hAnsi="Arial" w:cs="Arial"/>
          <w:color w:val="000000"/>
        </w:rPr>
        <w:t xml:space="preserve"> Burmistrz Polanowa w dniu 27 czerwca 2023 r. pismem znak: GNR.IV.6220.8.2023.2 wystąpił do Regionalnego Dyrektora Ochrony Środowiska w Szczecinie WST w Koszalinie, Państwowego Powiatowego Inspektora Sanitarnego w Koszalinie oraz Państwowego Gospodarstwa Wodnego Wody Polskie Zarządu Zlewni w Koszalinie o wydanie opinii co do potrzeby przeprowadzenia oceny oddziaływania przedsięwzięcia na środowisko i ewentualnego zakresu raportu.</w:t>
      </w:r>
    </w:p>
    <w:p w:rsidR="00006C53" w:rsidRDefault="00000000">
      <w:pPr>
        <w:pStyle w:val="Standard"/>
        <w:spacing w:after="0"/>
        <w:ind w:firstLine="708"/>
      </w:pPr>
      <w:r>
        <w:rPr>
          <w:rStyle w:val="alb"/>
          <w:rFonts w:ascii="Arial" w:hAnsi="Arial" w:cs="Arial"/>
          <w:color w:val="000000"/>
        </w:rPr>
        <w:t>Pismem z dnia 13 lipca 2023</w:t>
      </w:r>
      <w:r>
        <w:rPr>
          <w:rFonts w:ascii="Arial" w:eastAsia="Times New Roman" w:hAnsi="Arial" w:cs="Arial"/>
          <w:color w:val="000000"/>
          <w:lang w:eastAsia="pl-PL"/>
        </w:rPr>
        <w:t xml:space="preserve"> r., znak: </w:t>
      </w:r>
      <w:proofErr w:type="gramStart"/>
      <w:r>
        <w:rPr>
          <w:rFonts w:ascii="Arial" w:eastAsia="Times New Roman" w:hAnsi="Arial" w:cs="Arial"/>
          <w:color w:val="000000"/>
          <w:lang w:eastAsia="pl-PL"/>
        </w:rPr>
        <w:t>SZ.ZZŚ</w:t>
      </w:r>
      <w:proofErr w:type="gramEnd"/>
      <w:r>
        <w:rPr>
          <w:rFonts w:ascii="Arial" w:eastAsia="Times New Roman" w:hAnsi="Arial" w:cs="Arial"/>
          <w:color w:val="000000"/>
          <w:lang w:eastAsia="pl-PL"/>
        </w:rPr>
        <w:t>.2.4901.156.2023.IW Dyrektor Zarządu Zlewni w Koszalinie Państwowego Gospodarstwa Wodnego Wody Polskie, wyraził opinię o braku potrzeby przeprowadzenia oceny oddziaływania planowanego przedsięwzięcia na stan zasobów wodnych i zagrożenie osiągnięcia celów środowiskowych, określając jednocześnie warunki i wymagania konieczne do uwzględnienia w decyzji środowiskowej.</w:t>
      </w:r>
    </w:p>
    <w:p w:rsidR="00006C53" w:rsidRDefault="00000000">
      <w:pPr>
        <w:spacing w:line="276" w:lineRule="auto"/>
        <w:ind w:firstLine="709"/>
      </w:pPr>
      <w:r>
        <w:rPr>
          <w:rStyle w:val="alb"/>
          <w:rFonts w:ascii="Arial" w:eastAsia="Times New Roman" w:hAnsi="Arial" w:cs="Arial"/>
          <w:color w:val="000000"/>
          <w:lang w:eastAsia="pl-PL"/>
        </w:rPr>
        <w:t xml:space="preserve">Regionalny Dyrektor Ochrony Środowiska w Szczecinie WST w Koszalinie pismem z dnia 16 sierpnia 2023 r. znak WST-K.4220.205.2023.MGN.2 wyraził opinię, że dla </w:t>
      </w:r>
      <w:r>
        <w:rPr>
          <w:rStyle w:val="alb"/>
          <w:rFonts w:ascii="Arial" w:eastAsia="Times New Roman" w:hAnsi="Arial" w:cs="Arial"/>
          <w:color w:val="000000"/>
          <w:lang w:eastAsia="pl-PL"/>
        </w:rPr>
        <w:br/>
        <w:t>przedsięwzięcia polegającego na</w:t>
      </w:r>
      <w:proofErr w:type="gramStart"/>
      <w:r>
        <w:rPr>
          <w:rFonts w:ascii="Arial" w:hAnsi="Arial" w:cs="Arial"/>
          <w:iCs/>
          <w:color w:val="000000"/>
        </w:rPr>
        <w:t xml:space="preserve">: </w:t>
      </w:r>
      <w:r>
        <w:rPr>
          <w:rFonts w:ascii="Arial" w:hAnsi="Arial" w:cs="Arial"/>
          <w:iCs/>
        </w:rPr>
        <w:t>,,Budowie</w:t>
      </w:r>
      <w:proofErr w:type="gramEnd"/>
      <w:r>
        <w:rPr>
          <w:rFonts w:ascii="Arial" w:hAnsi="Arial" w:cs="Arial"/>
          <w:iCs/>
        </w:rPr>
        <w:t xml:space="preserve"> farmy fotowoltaicznej o mocy do 3 MW oraz magazynów energii o mocy do 0,3 GW wraz z infrastrukturą towarzyszącą – Polanów 1” istnieje konieczność przeprowadzenia oceny </w:t>
      </w:r>
      <w:r>
        <w:rPr>
          <w:rFonts w:ascii="Arial" w:eastAsia="Times New Roman" w:hAnsi="Arial" w:cs="Arial"/>
          <w:lang w:eastAsia="pl-PL"/>
        </w:rPr>
        <w:t xml:space="preserve">oddziaływania na środowisko i ustalił zakres raportu </w:t>
      </w:r>
      <w:proofErr w:type="spellStart"/>
      <w:r>
        <w:rPr>
          <w:rFonts w:ascii="Arial" w:eastAsia="Times New Roman" w:hAnsi="Arial" w:cs="Arial"/>
          <w:lang w:eastAsia="pl-PL"/>
        </w:rPr>
        <w:t>ooś</w:t>
      </w:r>
      <w:proofErr w:type="spellEnd"/>
      <w:r>
        <w:rPr>
          <w:rFonts w:ascii="Arial" w:eastAsia="Times New Roman" w:hAnsi="Arial" w:cs="Arial"/>
          <w:lang w:eastAsia="pl-PL"/>
        </w:rPr>
        <w:t xml:space="preserve">, w myśl art. 66 ustawy </w:t>
      </w:r>
      <w:proofErr w:type="spellStart"/>
      <w:r>
        <w:rPr>
          <w:rFonts w:ascii="Arial" w:eastAsia="Times New Roman" w:hAnsi="Arial" w:cs="Arial"/>
          <w:lang w:eastAsia="pl-PL"/>
        </w:rPr>
        <w:t>ooś</w:t>
      </w:r>
      <w:proofErr w:type="spellEnd"/>
      <w:r>
        <w:rPr>
          <w:rFonts w:ascii="Arial" w:eastAsia="Times New Roman" w:hAnsi="Arial" w:cs="Arial"/>
          <w:lang w:eastAsia="pl-PL"/>
        </w:rPr>
        <w:t>.</w:t>
      </w:r>
    </w:p>
    <w:p w:rsidR="00006C53" w:rsidRDefault="00000000">
      <w:pPr>
        <w:pStyle w:val="Default"/>
        <w:spacing w:line="276" w:lineRule="auto"/>
        <w:ind w:firstLine="708"/>
      </w:pPr>
      <w:r>
        <w:rPr>
          <w:rFonts w:ascii="Arial" w:hAnsi="Arial" w:cs="Arial"/>
          <w:sz w:val="22"/>
          <w:szCs w:val="22"/>
        </w:rPr>
        <w:t xml:space="preserve">Państwowy Powiatowy Inspektor Sanitarny w Koszalinie nie wyraził opinii co do potrzeby sporządzenia raportu oddziaływania na środowisko w ustawowym terminie, co zgodnie z art. 78 ust. 4 ustawy </w:t>
      </w:r>
      <w:proofErr w:type="spellStart"/>
      <w:r>
        <w:rPr>
          <w:rFonts w:ascii="Arial" w:hAnsi="Arial" w:cs="Arial"/>
          <w:sz w:val="22"/>
          <w:szCs w:val="22"/>
        </w:rPr>
        <w:t>ooś</w:t>
      </w:r>
      <w:proofErr w:type="spellEnd"/>
      <w:r>
        <w:rPr>
          <w:rFonts w:ascii="Arial" w:hAnsi="Arial" w:cs="Arial"/>
          <w:sz w:val="22"/>
          <w:szCs w:val="22"/>
        </w:rPr>
        <w:t>, traktuje się jako brak zastrzeżeń</w:t>
      </w:r>
    </w:p>
    <w:p w:rsidR="00006C53" w:rsidRDefault="00000000">
      <w:pPr>
        <w:pStyle w:val="Standard"/>
        <w:spacing w:after="0"/>
        <w:ind w:firstLine="708"/>
      </w:pPr>
      <w:r>
        <w:rPr>
          <w:rFonts w:ascii="Arial" w:hAnsi="Arial" w:cs="Arial"/>
          <w:color w:val="000000"/>
        </w:rPr>
        <w:t xml:space="preserve">W myśl art. 64 ust. 1 pkt 1 ustawy </w:t>
      </w:r>
      <w:proofErr w:type="spellStart"/>
      <w:r>
        <w:rPr>
          <w:rFonts w:ascii="Arial" w:hAnsi="Arial" w:cs="Arial"/>
          <w:color w:val="000000"/>
        </w:rPr>
        <w:t>ooś</w:t>
      </w:r>
      <w:proofErr w:type="spellEnd"/>
      <w:r>
        <w:rPr>
          <w:rFonts w:ascii="Arial" w:hAnsi="Arial" w:cs="Arial"/>
          <w:color w:val="000000"/>
        </w:rPr>
        <w:t xml:space="preserve">, obowiązek przeprowadzenia oceny oddziaływania planowanych przedsięwzięć mogących potencjalnie znacząco oddziaływać na środowisko, o których mowa w art. 59 ust. 1 pkt 2 ustawy </w:t>
      </w:r>
      <w:proofErr w:type="spellStart"/>
      <w:r>
        <w:rPr>
          <w:rFonts w:ascii="Arial" w:hAnsi="Arial" w:cs="Arial"/>
          <w:color w:val="000000"/>
        </w:rPr>
        <w:t>ooś</w:t>
      </w:r>
      <w:proofErr w:type="spellEnd"/>
      <w:r>
        <w:rPr>
          <w:rFonts w:ascii="Arial" w:hAnsi="Arial" w:cs="Arial"/>
          <w:color w:val="000000"/>
        </w:rPr>
        <w:t xml:space="preserve">, stwierdza w drodze postanowienia, organ właściwy do wydania decyzji o środowiskowych uwarunkowaniach. </w:t>
      </w:r>
      <w:r>
        <w:rPr>
          <w:rFonts w:ascii="Arial" w:hAnsi="Arial" w:cs="Arial"/>
          <w:color w:val="000000"/>
        </w:rPr>
        <w:lastRenderedPageBreak/>
        <w:t>Burmistrz Polanowa postanowieniem z dnia 11 września 2023 r. znak: GNR.IV.6220.8.2023.4 stwierdził potrzebę przeprowadzenia oceny oddziaływania na środowisko planowanego przedsięwzięcia pn.</w:t>
      </w:r>
      <w:proofErr w:type="gramStart"/>
      <w:r>
        <w:rPr>
          <w:rFonts w:ascii="Arial" w:hAnsi="Arial" w:cs="Arial"/>
          <w:color w:val="000000"/>
        </w:rPr>
        <w:t>:</w:t>
      </w:r>
      <w:r>
        <w:rPr>
          <w:rFonts w:ascii="Arial" w:hAnsi="Arial" w:cs="Arial"/>
          <w:iCs/>
          <w:color w:val="000000"/>
        </w:rPr>
        <w:t xml:space="preserve"> </w:t>
      </w:r>
      <w:r>
        <w:rPr>
          <w:rFonts w:ascii="Arial" w:hAnsi="Arial" w:cs="Arial"/>
          <w:iCs/>
        </w:rPr>
        <w:t>,,Budowie</w:t>
      </w:r>
      <w:proofErr w:type="gramEnd"/>
      <w:r>
        <w:rPr>
          <w:rFonts w:ascii="Arial" w:hAnsi="Arial" w:cs="Arial"/>
          <w:iCs/>
        </w:rPr>
        <w:t xml:space="preserve"> farmy fotowoltaicznej o mocy do 3 MW oraz magazynów energii o mocy do 0,3 GW wraz z infrastrukturą towarzyszącą – Polanów 1”.</w:t>
      </w:r>
    </w:p>
    <w:p w:rsidR="00006C53" w:rsidRDefault="00000000">
      <w:pPr>
        <w:pStyle w:val="Standard"/>
        <w:spacing w:after="0"/>
        <w:ind w:firstLine="708"/>
      </w:pPr>
      <w:r>
        <w:rPr>
          <w:rStyle w:val="alb"/>
          <w:rFonts w:ascii="Arial" w:hAnsi="Arial" w:cs="Arial"/>
          <w:color w:val="000000"/>
        </w:rPr>
        <w:t xml:space="preserve">W dniu 31 maja 2024 r. </w:t>
      </w:r>
      <w:proofErr w:type="gramStart"/>
      <w:r>
        <w:rPr>
          <w:rStyle w:val="alb"/>
          <w:rFonts w:ascii="Arial" w:hAnsi="Arial" w:cs="Arial"/>
          <w:color w:val="000000"/>
        </w:rPr>
        <w:t>wnioskodawca  przedłożył</w:t>
      </w:r>
      <w:proofErr w:type="gramEnd"/>
      <w:r>
        <w:rPr>
          <w:rStyle w:val="alb"/>
          <w:rFonts w:ascii="Arial" w:hAnsi="Arial" w:cs="Arial"/>
          <w:color w:val="000000"/>
        </w:rPr>
        <w:t xml:space="preserve"> raport o oddziaływaniu planowanego przedsięwzięcia na środowisko.</w:t>
      </w:r>
    </w:p>
    <w:p w:rsidR="00006C53" w:rsidRDefault="00000000">
      <w:pPr>
        <w:pStyle w:val="Standard"/>
        <w:spacing w:after="0"/>
      </w:pPr>
      <w:r>
        <w:rPr>
          <w:rStyle w:val="alb"/>
          <w:rFonts w:ascii="Arial" w:hAnsi="Arial" w:cs="Arial"/>
          <w:color w:val="000000"/>
        </w:rPr>
        <w:t xml:space="preserve">Burmistrz Polanowa, zgodnie z art. 77 ust. 1 ustawy </w:t>
      </w:r>
      <w:proofErr w:type="spellStart"/>
      <w:r>
        <w:rPr>
          <w:rStyle w:val="alb"/>
          <w:rFonts w:ascii="Arial" w:hAnsi="Arial" w:cs="Arial"/>
          <w:color w:val="000000"/>
        </w:rPr>
        <w:t>ooś</w:t>
      </w:r>
      <w:proofErr w:type="spellEnd"/>
      <w:r>
        <w:rPr>
          <w:rStyle w:val="alb"/>
          <w:rFonts w:ascii="Arial" w:hAnsi="Arial" w:cs="Arial"/>
          <w:color w:val="000000"/>
        </w:rPr>
        <w:t xml:space="preserve"> pismem z dnia 04 czerwca 2024 r. zwrócił się do Regionalnego Dyrektora Ochrony Środowiska, WST w Koszalinie z wnioskiem o uzgodnienie warunków realizacji przedmiotowego przedsięwzięcia.</w:t>
      </w:r>
    </w:p>
    <w:p w:rsidR="00006C53" w:rsidRDefault="00000000">
      <w:pPr>
        <w:pStyle w:val="Standard"/>
        <w:spacing w:after="0"/>
        <w:ind w:firstLine="708"/>
        <w:rPr>
          <w:rFonts w:ascii="Arial" w:hAnsi="Arial" w:cs="Arial"/>
          <w:color w:val="000000"/>
        </w:rPr>
      </w:pPr>
      <w:r>
        <w:rPr>
          <w:rFonts w:ascii="Arial" w:hAnsi="Arial" w:cs="Arial"/>
          <w:color w:val="000000"/>
        </w:rPr>
        <w:t>Regionalny Dyrektor Ochrony Środowiska w Szczecinie postanowieniem z dnia 01 października 2024 r. znak: WST-K.4221.48.2024.MG.3 uzgodnił realizację przedsięwzięcia i jednocześnie określił warunki realizacji inwestycji.</w:t>
      </w:r>
    </w:p>
    <w:p w:rsidR="00006C53" w:rsidRDefault="00000000">
      <w:pPr>
        <w:pStyle w:val="Standard"/>
        <w:spacing w:after="0"/>
        <w:rPr>
          <w:rFonts w:ascii="Arial" w:eastAsia="Times New Roman" w:hAnsi="Arial" w:cs="Arial"/>
          <w:lang w:eastAsia="pl-PL"/>
        </w:rPr>
      </w:pPr>
      <w:r>
        <w:rPr>
          <w:rFonts w:ascii="Arial" w:eastAsia="Times New Roman" w:hAnsi="Arial" w:cs="Arial"/>
          <w:lang w:eastAsia="pl-PL"/>
        </w:rPr>
        <w:t>W ramach planowanego przedsięwzięcia przewiduje się montaż modułów fotowoltaicznych i inwerterów o łącznej mocy nominalnej do 3 MW, konstrukcji wsporczych, stacji transformatorowych w ilości do 3 szt., stacji GPO, magazynów energii w ilości do 150 szt., wykonanie tras oraz linii kablowych, pozostałych elementów infrastruktury, ogrodzenia.</w:t>
      </w:r>
    </w:p>
    <w:p w:rsidR="00006C53" w:rsidRDefault="00000000">
      <w:pPr>
        <w:pStyle w:val="Standard"/>
        <w:spacing w:after="0"/>
        <w:rPr>
          <w:rFonts w:ascii="Arial" w:eastAsia="Times New Roman" w:hAnsi="Arial" w:cs="Arial"/>
          <w:lang w:eastAsia="pl-PL"/>
        </w:rPr>
      </w:pPr>
      <w:r>
        <w:rPr>
          <w:rFonts w:ascii="Arial" w:eastAsia="Times New Roman" w:hAnsi="Arial" w:cs="Arial"/>
          <w:lang w:eastAsia="pl-PL"/>
        </w:rPr>
        <w:t xml:space="preserve">Zgodnie z przedłożonymi przez inwestora dokumentami w granicach przedmiotowej działki występują następujące </w:t>
      </w:r>
      <w:proofErr w:type="spellStart"/>
      <w:r>
        <w:rPr>
          <w:rFonts w:ascii="Arial" w:eastAsia="Times New Roman" w:hAnsi="Arial" w:cs="Arial"/>
          <w:lang w:eastAsia="pl-PL"/>
        </w:rPr>
        <w:t>klasoużytki</w:t>
      </w:r>
      <w:proofErr w:type="spellEnd"/>
      <w:r>
        <w:rPr>
          <w:rFonts w:ascii="Arial" w:eastAsia="Times New Roman" w:hAnsi="Arial" w:cs="Arial"/>
          <w:lang w:eastAsia="pl-PL"/>
        </w:rPr>
        <w:t>: grunty orne (</w:t>
      </w:r>
      <w:proofErr w:type="spellStart"/>
      <w:r>
        <w:rPr>
          <w:rFonts w:ascii="Arial" w:eastAsia="Times New Roman" w:hAnsi="Arial" w:cs="Arial"/>
          <w:lang w:eastAsia="pl-PL"/>
        </w:rPr>
        <w:t>RIVb</w:t>
      </w:r>
      <w:proofErr w:type="spellEnd"/>
      <w:r>
        <w:rPr>
          <w:rFonts w:ascii="Arial" w:eastAsia="Times New Roman" w:hAnsi="Arial" w:cs="Arial"/>
          <w:lang w:eastAsia="pl-PL"/>
        </w:rPr>
        <w:t>, RV, RVI), pastwiska (</w:t>
      </w:r>
      <w:proofErr w:type="spellStart"/>
      <w:r>
        <w:rPr>
          <w:rFonts w:ascii="Arial" w:eastAsia="Times New Roman" w:hAnsi="Arial" w:cs="Arial"/>
          <w:lang w:eastAsia="pl-PL"/>
        </w:rPr>
        <w:t>PsIV</w:t>
      </w:r>
      <w:proofErr w:type="spellEnd"/>
      <w:r>
        <w:rPr>
          <w:rFonts w:ascii="Arial" w:eastAsia="Times New Roman" w:hAnsi="Arial" w:cs="Arial"/>
          <w:lang w:eastAsia="pl-PL"/>
        </w:rPr>
        <w:t xml:space="preserve">, </w:t>
      </w:r>
      <w:proofErr w:type="spellStart"/>
      <w:r>
        <w:rPr>
          <w:rFonts w:ascii="Arial" w:eastAsia="Times New Roman" w:hAnsi="Arial" w:cs="Arial"/>
          <w:lang w:eastAsia="pl-PL"/>
        </w:rPr>
        <w:t>PsV</w:t>
      </w:r>
      <w:proofErr w:type="spellEnd"/>
      <w:r>
        <w:rPr>
          <w:rFonts w:ascii="Arial" w:eastAsia="Times New Roman" w:hAnsi="Arial" w:cs="Arial"/>
          <w:lang w:eastAsia="pl-PL"/>
        </w:rPr>
        <w:t>), łąki (ŁIV), grunty pod rowami (W-ŁIV), lasy (</w:t>
      </w:r>
      <w:proofErr w:type="spellStart"/>
      <w:r>
        <w:rPr>
          <w:rFonts w:ascii="Arial" w:eastAsia="Times New Roman" w:hAnsi="Arial" w:cs="Arial"/>
          <w:lang w:eastAsia="pl-PL"/>
        </w:rPr>
        <w:t>LsIII</w:t>
      </w:r>
      <w:proofErr w:type="spellEnd"/>
      <w:r>
        <w:rPr>
          <w:rFonts w:ascii="Arial" w:eastAsia="Times New Roman" w:hAnsi="Arial" w:cs="Arial"/>
          <w:lang w:eastAsia="pl-PL"/>
        </w:rPr>
        <w:t>), grunty zadrzewione i zakrzewione na użytkach rolnych (</w:t>
      </w:r>
      <w:proofErr w:type="spellStart"/>
      <w:r>
        <w:rPr>
          <w:rFonts w:ascii="Arial" w:eastAsia="Times New Roman" w:hAnsi="Arial" w:cs="Arial"/>
          <w:lang w:eastAsia="pl-PL"/>
        </w:rPr>
        <w:t>Lzr-PsV</w:t>
      </w:r>
      <w:proofErr w:type="spellEnd"/>
      <w:r>
        <w:rPr>
          <w:rFonts w:ascii="Arial" w:eastAsia="Times New Roman" w:hAnsi="Arial" w:cs="Arial"/>
          <w:lang w:eastAsia="pl-PL"/>
        </w:rPr>
        <w:t xml:space="preserve">) oraz nieużytki. Całkowita powierzchnia działki inwestycyjnej wynosi 4,22 ha, natomiast powierzchnia przeznaczona do przekształcenia w związku </w:t>
      </w:r>
      <w:r>
        <w:rPr>
          <w:rFonts w:ascii="Arial" w:eastAsia="Times New Roman" w:hAnsi="Arial" w:cs="Arial"/>
          <w:lang w:eastAsia="pl-PL"/>
        </w:rPr>
        <w:br/>
        <w:t xml:space="preserve">z realizacją przedsięwzięcia, wyniesie do 2,93 ha. Aktualnie teren inwestycji wykorzystywany jest głównie rolniczo. W ramach realizacji przedsięwzięcia nie przewiduje się wycinki drzew </w:t>
      </w:r>
      <w:r>
        <w:rPr>
          <w:rFonts w:ascii="Arial" w:eastAsia="Times New Roman" w:hAnsi="Arial" w:cs="Arial"/>
          <w:lang w:eastAsia="pl-PL"/>
        </w:rPr>
        <w:br/>
        <w:t>i krzewów. W otoczeniu terenu inwestycji znajdują się głównie grunty rolne, łąki i pastwiska. Najbliższa zabudowa mieszkaniowa zlokalizowana jest na działce nr 49/1 w obrębie Gołogóra, w odległości ok. 165 m od obszaru objętego wnioskiem. Teren planowanego przedsięwzięcia nie jest objęty ustaleniami miejscowego planu zagospodarowania przestrzennego.</w:t>
      </w:r>
    </w:p>
    <w:p w:rsidR="00006C53" w:rsidRDefault="00000000">
      <w:pPr>
        <w:autoSpaceDE w:val="0"/>
        <w:spacing w:line="276" w:lineRule="auto"/>
        <w:textAlignment w:val="auto"/>
        <w:rPr>
          <w:rFonts w:ascii="Arial" w:hAnsi="Arial" w:cs="Arial"/>
        </w:rPr>
      </w:pPr>
      <w:r>
        <w:rPr>
          <w:rFonts w:ascii="Arial" w:hAnsi="Arial" w:cs="Arial"/>
        </w:rPr>
        <w:t>Podczas fazy budowy instalacji będą produkowane niewielkie ilości ścieków socjalnobytowych, w związku z czym planuje się zastosowanie kontenerów sanitarnych, które zostaną przetransportowane na teren inwestycji. Teren przedsięwzięcia na etapie prac budowlanych zostanie zaopatrzony w środki do neutralizacji przypadkowo rozlanych substancji ropopochodnych. W przypadku ich niekontrolowanego wycieku, zanieczyszczenie zostanie niezwłocznie usunięte za pomocą środków do neutralizacji, a zebrany materiał przekazany do utylizacji uprawnionemu odbiorcy. Tankowanie oraz naprawy sprzętu będą wykonywane poza terenem inwestycji. Realizacja przedsięwzięcia będzie wiązała się z wytwarzaniem odpadów powstających podczas prac budowlano-montażowych. Odpady te będą selektywnie zbierane i gromadzone w zamkniętych pojemnikach lub kontenerach usytuowanych na szczelnym podłożu, w wyznaczonych miejscach na terenie przedsięwzięcia. Po zgromadzeniu odpowiedniej ilości lub po zakończeniu prac budowlano-montażowych odpady zostaną przekazane firmom posiadającym stosowne uprawnienia w zakresie gospodarki odpadami.</w:t>
      </w:r>
    </w:p>
    <w:p w:rsidR="00006C53" w:rsidRDefault="00000000">
      <w:pPr>
        <w:autoSpaceDE w:val="0"/>
        <w:spacing w:line="276" w:lineRule="auto"/>
        <w:textAlignment w:val="auto"/>
        <w:rPr>
          <w:rFonts w:ascii="Arial" w:hAnsi="Arial" w:cs="Arial"/>
        </w:rPr>
      </w:pPr>
      <w:r>
        <w:rPr>
          <w:rFonts w:ascii="Arial" w:hAnsi="Arial" w:cs="Arial"/>
        </w:rPr>
        <w:t>Etap realizacji przedsięwzięcia związany będzie z typową emisją akustyczną i emisją</w:t>
      </w:r>
    </w:p>
    <w:p w:rsidR="00006C53" w:rsidRDefault="00000000">
      <w:pPr>
        <w:autoSpaceDE w:val="0"/>
        <w:spacing w:line="276" w:lineRule="auto"/>
        <w:ind w:firstLine="0"/>
        <w:textAlignment w:val="auto"/>
        <w:rPr>
          <w:rFonts w:ascii="Arial" w:hAnsi="Arial" w:cs="Arial"/>
        </w:rPr>
      </w:pPr>
      <w:r>
        <w:rPr>
          <w:rFonts w:ascii="Arial" w:hAnsi="Arial" w:cs="Arial"/>
        </w:rPr>
        <w:t>zanieczyszczeń do powietrza charakterystyczną dla prac budowlanych, wynikającą z transportu materiałów oraz pracy sprzętu technicznego i maszyn. Zatem w celu ograniczenia uciążliwości pochodzących z etapu budowy względem najbliższych mieszkańców, prace realizacyjne prowadzone będą w porze dziennej, tj. w godzinach 6:00-22:00.</w:t>
      </w:r>
    </w:p>
    <w:p w:rsidR="00006C53" w:rsidRDefault="00000000">
      <w:pPr>
        <w:autoSpaceDE w:val="0"/>
        <w:spacing w:line="276" w:lineRule="auto"/>
        <w:textAlignment w:val="auto"/>
      </w:pPr>
      <w:r>
        <w:rPr>
          <w:rFonts w:ascii="Arial" w:eastAsia="Times New Roman" w:hAnsi="Arial" w:cs="Arial"/>
          <w:lang w:eastAsia="pl-PL"/>
        </w:rPr>
        <w:lastRenderedPageBreak/>
        <w:t xml:space="preserve">Źródłem emisji hałasu na etapie funkcjonowania przedsięwzięcia będą m.in. transformatory i magazyny energii, które usytuowane zostaną wewnątrz kontenerowych stacji transformatorowych, co ograniczy poziom hałasu emitowanego przez ww. urządzenia. Natomiast inwertery zostaną usytuowane równomiernie w granicach obszaru zainwestowania, w znacznej odległości od siebie, co wyklucza interferencję fal dźwiękowych. Dodatkowo urządzenia te będą ekranowane przez panele fotowoltaiczne. Analizę propagacji hałasu wykonano z uwzględnieniem dopuszczalnych poziomów hałasu w środowisku na poziomie 55 </w:t>
      </w:r>
      <w:proofErr w:type="spellStart"/>
      <w:r>
        <w:rPr>
          <w:rFonts w:ascii="Arial" w:eastAsia="Times New Roman" w:hAnsi="Arial" w:cs="Arial"/>
          <w:lang w:eastAsia="pl-PL"/>
        </w:rPr>
        <w:t>dB</w:t>
      </w:r>
      <w:proofErr w:type="spellEnd"/>
      <w:r>
        <w:rPr>
          <w:rFonts w:ascii="Arial" w:eastAsia="Times New Roman" w:hAnsi="Arial" w:cs="Arial"/>
          <w:lang w:eastAsia="pl-PL"/>
        </w:rPr>
        <w:t xml:space="preserve"> w porze dziennej i 45 </w:t>
      </w:r>
      <w:proofErr w:type="spellStart"/>
      <w:r>
        <w:rPr>
          <w:rFonts w:ascii="Arial" w:eastAsia="Times New Roman" w:hAnsi="Arial" w:cs="Arial"/>
          <w:lang w:eastAsia="pl-PL"/>
        </w:rPr>
        <w:t>dB</w:t>
      </w:r>
      <w:proofErr w:type="spellEnd"/>
      <w:r>
        <w:rPr>
          <w:rFonts w:ascii="Arial" w:eastAsia="Times New Roman" w:hAnsi="Arial" w:cs="Arial"/>
          <w:lang w:eastAsia="pl-PL"/>
        </w:rPr>
        <w:t xml:space="preserve"> w porze nocnej, określonych dla zabudowy zagrodowej, w rozporządzeniu Ministra Środowiska z dnia 14 czerwca 2007 r. w sprawie dopuszczalnych poziomów hałasu w środowisku (Dz.U. z 2014 r., poz. 112). W wyniku analizy przedstawionych obliczeń wraz z prezentacją graficzną rozkładu izolinii hałasu stwierdza się, że projektowane przedsięwzięcie nie spowoduje przekroczenia dopuszczalnych poziomów</w:t>
      </w:r>
      <w:r>
        <w:rPr>
          <w:rFonts w:ascii="Arial" w:hAnsi="Arial" w:cs="Arial"/>
        </w:rPr>
        <w:t xml:space="preserve"> hałasu w środowisku względem najbliżej położonych terenów podlegających ochronie akustycznej (maksymalna wartość poziomu hałasu występująca na granicy obszarów chronionych akustycznie wynosi 42,5 </w:t>
      </w:r>
      <w:proofErr w:type="spellStart"/>
      <w:r>
        <w:rPr>
          <w:rFonts w:ascii="Arial" w:hAnsi="Arial" w:cs="Arial"/>
        </w:rPr>
        <w:t>dB</w:t>
      </w:r>
      <w:proofErr w:type="spellEnd"/>
      <w:r>
        <w:rPr>
          <w:rFonts w:ascii="Arial" w:hAnsi="Arial" w:cs="Arial"/>
        </w:rPr>
        <w:t>). W związku z powyższym eksploatacja projektowanej instalacji nie powinna powodować uciążliwości dla mieszkańców sąsiednich terenów.</w:t>
      </w:r>
    </w:p>
    <w:p w:rsidR="00006C53" w:rsidRDefault="00000000">
      <w:pPr>
        <w:autoSpaceDE w:val="0"/>
        <w:spacing w:line="276" w:lineRule="auto"/>
        <w:textAlignment w:val="auto"/>
      </w:pPr>
      <w:r>
        <w:rPr>
          <w:rFonts w:ascii="Arial" w:hAnsi="Arial" w:cs="Arial"/>
        </w:rPr>
        <w:t xml:space="preserve">Planowane stacje transformatorowe i inwertery będą również źródłem pól elektrycznych i magnetycznych o częstotliwości 50 </w:t>
      </w:r>
      <w:proofErr w:type="spellStart"/>
      <w:r>
        <w:rPr>
          <w:rFonts w:ascii="Arial" w:hAnsi="Arial" w:cs="Arial"/>
        </w:rPr>
        <w:t>Hz</w:t>
      </w:r>
      <w:proofErr w:type="spellEnd"/>
      <w:r>
        <w:rPr>
          <w:rFonts w:ascii="Arial" w:hAnsi="Arial" w:cs="Arial"/>
        </w:rPr>
        <w:t xml:space="preserve">. Zgodnie z rozporządzeniem Ministra Zdrowia z dnia 17 grudnia 2019 r. w sprawie dopuszczalnych poziomów pól elektromagnetycznych w środowisku (Dz.U. z 2019 r., poz. 2448), dopuszczalny poziom pola elektromagnetycznego o częstotliwości 50 </w:t>
      </w:r>
      <w:proofErr w:type="spellStart"/>
      <w:r>
        <w:rPr>
          <w:rFonts w:ascii="Arial" w:hAnsi="Arial" w:cs="Arial"/>
        </w:rPr>
        <w:t>Hz</w:t>
      </w:r>
      <w:proofErr w:type="spellEnd"/>
      <w:r>
        <w:rPr>
          <w:rFonts w:ascii="Arial" w:hAnsi="Arial" w:cs="Arial"/>
        </w:rPr>
        <w:t xml:space="preserve"> nie powinien przekraczać w miejscach dostępnych dla ludzi wartości granicznej 10 </w:t>
      </w:r>
      <w:proofErr w:type="spellStart"/>
      <w:r>
        <w:rPr>
          <w:rFonts w:ascii="Arial" w:hAnsi="Arial" w:cs="Arial"/>
        </w:rPr>
        <w:t>kV</w:t>
      </w:r>
      <w:proofErr w:type="spellEnd"/>
      <w:r>
        <w:rPr>
          <w:rFonts w:ascii="Arial" w:hAnsi="Arial" w:cs="Arial"/>
        </w:rPr>
        <w:t>/m – natężenie pola elektrycznego oraz 60 A/m – natężenie pola magnetycznego. Z przedłożonej dokumentacji wynika, że standardy jakości środowiska zostaną dotrzymane. Ponadto umieszczenie stacji transformatorowych w zabudowie kontenerowej znacząco ograniczy oddziaływanie w zakresie emisji pól magnetycznych</w:t>
      </w:r>
      <w:r>
        <w:rPr>
          <w:rFonts w:ascii="TimesNewRomanPSMT" w:hAnsi="TimesNewRomanPSMT" w:cs="TimesNewRomanPSMT"/>
          <w:sz w:val="24"/>
          <w:szCs w:val="24"/>
        </w:rPr>
        <w:t>.</w:t>
      </w:r>
    </w:p>
    <w:p w:rsidR="00006C53" w:rsidRDefault="00000000">
      <w:pPr>
        <w:autoSpaceDE w:val="0"/>
        <w:spacing w:line="276" w:lineRule="auto"/>
        <w:textAlignment w:val="auto"/>
        <w:rPr>
          <w:rFonts w:ascii="Arial" w:hAnsi="Arial" w:cs="Arial"/>
        </w:rPr>
      </w:pPr>
      <w:r>
        <w:rPr>
          <w:rFonts w:ascii="Arial" w:hAnsi="Arial" w:cs="Arial"/>
        </w:rPr>
        <w:t>Podczas funkcjonowania instalacji fotowoltaicznej nie będą powstawać ścieki, zarówno technologiczne, jak i bytowe. Zakłada się mycie paneli wodą, przy czym przy silniejszych zabrudzeniach stosowane będą środki biodegradowalne, obojętne dla środowiska. Wody z mycia paneli wraz z wodami opadowymi i roztopowymi będą wsiąkały bezpośrednio do gruntu. Wnioskodawca przewiduje montaż transformatora suchego lub olejowego. W celu ochrony środowiska gruntowo-wodnego, w przypadku zastosowania transformatorów olejowych, stacje transformatorowe będą wyposażone w szczelne misy olejowe, co uniemożliwi przedostanie się oleju do gruntu w trakcie awarii. Eksploatacja farmy</w:t>
      </w:r>
    </w:p>
    <w:p w:rsidR="00006C53" w:rsidRDefault="00000000">
      <w:pPr>
        <w:autoSpaceDE w:val="0"/>
        <w:spacing w:line="276" w:lineRule="auto"/>
        <w:ind w:firstLine="0"/>
        <w:textAlignment w:val="auto"/>
        <w:rPr>
          <w:rFonts w:ascii="Arial" w:hAnsi="Arial" w:cs="Arial"/>
        </w:rPr>
      </w:pPr>
      <w:r>
        <w:rPr>
          <w:rFonts w:ascii="Arial" w:hAnsi="Arial" w:cs="Arial"/>
        </w:rPr>
        <w:t>fotowoltaicznej związana będzie również z powstawaniem niewielkiej ilości odpadów</w:t>
      </w:r>
    </w:p>
    <w:p w:rsidR="00006C53" w:rsidRDefault="00000000">
      <w:pPr>
        <w:autoSpaceDE w:val="0"/>
        <w:spacing w:line="276" w:lineRule="auto"/>
        <w:ind w:firstLine="0"/>
        <w:textAlignment w:val="auto"/>
        <w:rPr>
          <w:rFonts w:ascii="Arial" w:hAnsi="Arial" w:cs="Arial"/>
        </w:rPr>
      </w:pPr>
      <w:r>
        <w:rPr>
          <w:rFonts w:ascii="Arial" w:hAnsi="Arial" w:cs="Arial"/>
        </w:rPr>
        <w:t>podczas przeprowadzania napraw urządzeń lub prac konserwacyjnych. Odpady te nie będą</w:t>
      </w:r>
    </w:p>
    <w:p w:rsidR="00006C53" w:rsidRDefault="00000000">
      <w:pPr>
        <w:autoSpaceDE w:val="0"/>
        <w:spacing w:line="276" w:lineRule="auto"/>
        <w:ind w:firstLine="0"/>
        <w:textAlignment w:val="auto"/>
        <w:rPr>
          <w:rFonts w:ascii="Arial" w:hAnsi="Arial" w:cs="Arial"/>
        </w:rPr>
      </w:pPr>
      <w:r>
        <w:rPr>
          <w:rFonts w:ascii="Arial" w:hAnsi="Arial" w:cs="Arial"/>
        </w:rPr>
        <w:t>magazynowane na terenie farmy, ale bezpośrednio po ich wytworzeniu zostaną usunięte</w:t>
      </w:r>
    </w:p>
    <w:p w:rsidR="00006C53" w:rsidRDefault="00000000">
      <w:pPr>
        <w:autoSpaceDE w:val="0"/>
        <w:spacing w:line="276" w:lineRule="auto"/>
        <w:ind w:firstLine="0"/>
        <w:textAlignment w:val="auto"/>
        <w:rPr>
          <w:rFonts w:ascii="Arial" w:hAnsi="Arial" w:cs="Arial"/>
        </w:rPr>
      </w:pPr>
      <w:r>
        <w:rPr>
          <w:rFonts w:ascii="Arial" w:hAnsi="Arial" w:cs="Arial"/>
        </w:rPr>
        <w:t>z terenu lokalizacji przedmiotowej instalacji, przez podmioty świadczące usługi serwisowe</w:t>
      </w:r>
    </w:p>
    <w:p w:rsidR="00006C53" w:rsidRDefault="00000000">
      <w:pPr>
        <w:autoSpaceDE w:val="0"/>
        <w:spacing w:line="276" w:lineRule="auto"/>
        <w:ind w:firstLine="0"/>
        <w:textAlignment w:val="auto"/>
        <w:rPr>
          <w:rFonts w:ascii="Arial" w:hAnsi="Arial" w:cs="Arial"/>
        </w:rPr>
      </w:pPr>
      <w:r>
        <w:rPr>
          <w:rFonts w:ascii="Arial" w:hAnsi="Arial" w:cs="Arial"/>
        </w:rPr>
        <w:t>i przekazywane do zagospodarowania zgodnie z obowiązującymi przepisami prawa. Podczas eksploatacji (tj. przez okres do 35 lat) inwestycja nie będzie generowała zanieczyszczeń do atmosfery w przeciwieństwie do tradycyjnych form wytwarzania energii w procesach spalania, tym samym przyczyni się do ochrony powietrza i klimatu.</w:t>
      </w:r>
    </w:p>
    <w:p w:rsidR="00006C53" w:rsidRDefault="00000000">
      <w:pPr>
        <w:pStyle w:val="Standard"/>
        <w:spacing w:after="0"/>
        <w:rPr>
          <w:rFonts w:ascii="Arial" w:hAnsi="Arial" w:cs="Arial"/>
        </w:rPr>
      </w:pPr>
      <w:r>
        <w:rPr>
          <w:rFonts w:ascii="Arial" w:hAnsi="Arial" w:cs="Arial"/>
        </w:rPr>
        <w:t>Obszar objęty zakresem planowanych prac inwestycyjnych zlokalizowany jest w obszarze chronionego krajobrazu pn. „Okolice Żydowo-Biały Bór”, powołanego w celu ochrony krajobrazu i naturalnych walorów środowiska przyrodniczego. Zgodnie z zapisem zawartym w § 3 ust. 2 oraz załącznikiem 2 uchwały Nr XXXII/375/09 Sejmiku Województwa Zachodniopomorskiego z dnia 15 września 2009 r. w sprawie obszarów chronionego krajobrazu (</w:t>
      </w:r>
      <w:proofErr w:type="spellStart"/>
      <w:r>
        <w:rPr>
          <w:rFonts w:ascii="Arial" w:hAnsi="Arial" w:cs="Arial"/>
        </w:rPr>
        <w:t>Dz.Urz.Woj.Zach</w:t>
      </w:r>
      <w:proofErr w:type="spellEnd"/>
      <w:r>
        <w:rPr>
          <w:rFonts w:ascii="Arial" w:hAnsi="Arial" w:cs="Arial"/>
        </w:rPr>
        <w:t xml:space="preserve">. z 2021 r., poz. 2091), na tym obszarze obowiązuje m. in. zakaz realizacji przedsięwzięć mogących znacząco oddziaływać na środowisko, </w:t>
      </w:r>
      <w:r>
        <w:rPr>
          <w:rFonts w:ascii="Arial" w:hAnsi="Arial" w:cs="Arial"/>
        </w:rPr>
        <w:lastRenderedPageBreak/>
        <w:t xml:space="preserve">w rozumieniu przepisów „ustawy </w:t>
      </w:r>
      <w:proofErr w:type="spellStart"/>
      <w:r>
        <w:rPr>
          <w:rFonts w:ascii="Arial" w:hAnsi="Arial" w:cs="Arial"/>
        </w:rPr>
        <w:t>ooś</w:t>
      </w:r>
      <w:proofErr w:type="spellEnd"/>
      <w:r>
        <w:rPr>
          <w:rFonts w:ascii="Arial" w:hAnsi="Arial" w:cs="Arial"/>
        </w:rPr>
        <w:t>”. Zastosowanie odstępstwa możliwe jest jedynie po przeprowadzeniu oceny oddziaływania przedsięwzięcia na środowisko, która wykazuje brak znaczącego negatywnego wpływu na ochronę przyrody i ochronę krajobrazu obszaru chronionego krajobrazu.</w:t>
      </w:r>
    </w:p>
    <w:p w:rsidR="00006C53" w:rsidRDefault="00000000">
      <w:pPr>
        <w:pStyle w:val="Standard"/>
        <w:spacing w:after="0"/>
        <w:rPr>
          <w:rFonts w:ascii="Arial" w:hAnsi="Arial" w:cs="Arial"/>
        </w:rPr>
      </w:pPr>
      <w:r>
        <w:rPr>
          <w:rFonts w:ascii="Arial" w:hAnsi="Arial" w:cs="Arial"/>
        </w:rPr>
        <w:t>W zakresie wpływu na krajobraz ustalono, iż realizacja planowanego zamierzenia inwestycyjnego związana będzie z przekształceniem terenów dotychczas użytkowanych rolniczo na tereny przemysłowe. Co prawda, zgodnie z wynikami projektu Audytu krajobrazowego województwa zachodniopomorskiego, obszar ten stanowi krajobraz wiejski z przewagą mozaikowo rozmieszczonych użytków rolnych tworzących pola średniej wielkości i został zaproponowany do zaliczenia jako krajobraz priorytetowy, niemniej jednak przedłożona analiza krajobrazu z użyciem Numerycznego Modelu Pokrycia Terenu (NMPT), wykazała, że widoczność inwestycji będzie znacznie lub całkowicie ograniczona ze względu na ukształtowanie terenu oraz naturalne przesłony krajobrazowe, w postaci drzew i krzewów.</w:t>
      </w:r>
    </w:p>
    <w:p w:rsidR="00006C53" w:rsidRDefault="00000000">
      <w:pPr>
        <w:autoSpaceDE w:val="0"/>
        <w:spacing w:line="276" w:lineRule="auto"/>
        <w:textAlignment w:val="auto"/>
        <w:rPr>
          <w:rFonts w:ascii="Arial" w:hAnsi="Arial" w:cs="Arial"/>
        </w:rPr>
      </w:pPr>
      <w:r>
        <w:rPr>
          <w:rFonts w:ascii="Arial" w:hAnsi="Arial" w:cs="Arial"/>
        </w:rPr>
        <w:t>Teren przeznaczony pod planowaną inwestycję zlokalizowany jest poza obszarami o krajobrazie mającym znaczenie historyczne, kulturowe lub archeologiczne. Biorąc powyższe pod uwagę, nie przewiduje się negatywnego wpływu planowanego przedsięwzięcia na walory krajobrazowe analizowanego terenu. Dodatkowo</w:t>
      </w:r>
    </w:p>
    <w:p w:rsidR="00006C53" w:rsidRDefault="00000000">
      <w:pPr>
        <w:autoSpaceDE w:val="0"/>
        <w:spacing w:line="276" w:lineRule="auto"/>
        <w:ind w:firstLine="0"/>
        <w:textAlignment w:val="auto"/>
        <w:rPr>
          <w:rFonts w:ascii="Arial" w:hAnsi="Arial" w:cs="Arial"/>
        </w:rPr>
      </w:pPr>
      <w:r>
        <w:rPr>
          <w:rFonts w:ascii="Arial" w:hAnsi="Arial" w:cs="Arial"/>
        </w:rPr>
        <w:t>w celu ograniczenia widoczności instalacji w krajobrazie, inwestor planuje wykonanie</w:t>
      </w:r>
    </w:p>
    <w:p w:rsidR="00006C53" w:rsidRDefault="00000000">
      <w:pPr>
        <w:autoSpaceDE w:val="0"/>
        <w:spacing w:line="276" w:lineRule="auto"/>
        <w:ind w:firstLine="0"/>
        <w:textAlignment w:val="auto"/>
        <w:rPr>
          <w:rFonts w:ascii="Arial" w:hAnsi="Arial" w:cs="Arial"/>
        </w:rPr>
      </w:pPr>
      <w:r>
        <w:rPr>
          <w:rFonts w:ascii="Arial" w:hAnsi="Arial" w:cs="Arial"/>
        </w:rPr>
        <w:t>infrastruktury technicznej towarzyszącej instalacji fotowoltaicznej (w tym stacji transformatorowych) w kolorach stonowanych, nie wyróżniających się w otoczeniu</w:t>
      </w:r>
    </w:p>
    <w:p w:rsidR="00006C53" w:rsidRDefault="00000000">
      <w:pPr>
        <w:autoSpaceDE w:val="0"/>
        <w:spacing w:line="276" w:lineRule="auto"/>
        <w:ind w:firstLine="0"/>
        <w:textAlignment w:val="auto"/>
        <w:rPr>
          <w:rFonts w:ascii="Arial" w:hAnsi="Arial" w:cs="Arial"/>
        </w:rPr>
      </w:pPr>
      <w:r>
        <w:rPr>
          <w:rFonts w:ascii="Arial" w:hAnsi="Arial" w:cs="Arial"/>
        </w:rPr>
        <w:t>(w odcieniu zieleni, brązu lub szarości). Z kolei w celu ograniczenia nadmiernego oświetlenia</w:t>
      </w:r>
    </w:p>
    <w:p w:rsidR="00006C53" w:rsidRDefault="00000000">
      <w:pPr>
        <w:autoSpaceDE w:val="0"/>
        <w:spacing w:line="276" w:lineRule="auto"/>
        <w:ind w:firstLine="0"/>
        <w:textAlignment w:val="auto"/>
        <w:rPr>
          <w:rFonts w:ascii="Arial" w:hAnsi="Arial" w:cs="Arial"/>
        </w:rPr>
      </w:pPr>
      <w:r>
        <w:rPr>
          <w:rFonts w:ascii="Arial" w:hAnsi="Arial" w:cs="Arial"/>
        </w:rPr>
        <w:t>nocnego spowodowanego przez sztuczne źródło, nałożono na inwestora warunek rezygnacji z ciągłego oświetlenia terenu farmy i ogrodzenia w porze nocnej.</w:t>
      </w:r>
    </w:p>
    <w:p w:rsidR="00006C53" w:rsidRDefault="00000000">
      <w:pPr>
        <w:autoSpaceDE w:val="0"/>
        <w:spacing w:line="276" w:lineRule="auto"/>
        <w:textAlignment w:val="auto"/>
        <w:rPr>
          <w:rFonts w:ascii="Arial" w:hAnsi="Arial" w:cs="Arial"/>
        </w:rPr>
      </w:pPr>
      <w:r>
        <w:rPr>
          <w:rFonts w:ascii="Arial" w:hAnsi="Arial" w:cs="Arial"/>
        </w:rPr>
        <w:t>W odniesieniu do zakazów obowiązujących w granicach wspomnianego obszaru</w:t>
      </w:r>
    </w:p>
    <w:p w:rsidR="00006C53" w:rsidRDefault="00000000">
      <w:pPr>
        <w:autoSpaceDE w:val="0"/>
        <w:spacing w:line="276" w:lineRule="auto"/>
        <w:ind w:firstLine="0"/>
        <w:textAlignment w:val="auto"/>
        <w:rPr>
          <w:rFonts w:ascii="Arial" w:hAnsi="Arial" w:cs="Arial"/>
        </w:rPr>
      </w:pPr>
      <w:r>
        <w:rPr>
          <w:rFonts w:ascii="Arial" w:hAnsi="Arial" w:cs="Arial"/>
        </w:rPr>
        <w:t>nadmienia się, że w obrębie przedmiotowych działek nie stwierdzono występowania nor, legowisk, innych schronień i miejsc rozrodu dziko występujących zwierząt. W związku z budową projektowanej instalacji nie przewiduje się także wycinki drzew i krzewów.</w:t>
      </w:r>
    </w:p>
    <w:p w:rsidR="00006C53" w:rsidRDefault="00000000">
      <w:pPr>
        <w:autoSpaceDE w:val="0"/>
        <w:spacing w:line="276" w:lineRule="auto"/>
        <w:ind w:firstLine="0"/>
        <w:textAlignment w:val="auto"/>
        <w:rPr>
          <w:rFonts w:ascii="Arial" w:hAnsi="Arial" w:cs="Arial"/>
        </w:rPr>
      </w:pPr>
      <w:r>
        <w:rPr>
          <w:rFonts w:ascii="Arial" w:hAnsi="Arial" w:cs="Arial"/>
        </w:rPr>
        <w:t xml:space="preserve">Realizacja i eksploatacja planowanego przedsięwzięcia nie </w:t>
      </w:r>
      <w:proofErr w:type="gramStart"/>
      <w:r>
        <w:rPr>
          <w:rFonts w:ascii="Arial" w:hAnsi="Arial" w:cs="Arial"/>
        </w:rPr>
        <w:t>będzie</w:t>
      </w:r>
      <w:proofErr w:type="gramEnd"/>
      <w:r>
        <w:rPr>
          <w:rFonts w:ascii="Arial" w:hAnsi="Arial" w:cs="Arial"/>
        </w:rPr>
        <w:t xml:space="preserve"> związana z wydobywaniem do celów gospodarczych skał, w tym torfu oraz skamieniałości, w tym kopalnych szczątków roślin i zwierząt, a także minerałów i bursztynu. Nie przewiduje się również wykonywania prac ziemnych trwale zniekształcających rzeźbę terenu, gdyż planowane do wykonania prace ziemne nie będą wiązać się z obniżeniem lub podniesieniem rzędnych terenu działki zainwestowania. Charakter prac związanych z realizacją przedsięwzięcia nie będzie wiązał się również ze zmianą stosunków wodnych na analizowanym terenie. W ramach realizacji przedsięwzięcia nie przewiduje się likwidowania naturalnych zbiorników wodnych, starorzeczy i obszarów wodno-błotnych. Z uwagi na lokalizację inwestycji w odległości ponad 100 m od najbliższego naturalnego zbiornika wodnego, jeziora lub rzeki, zostanie zachowana minimalna odległość pomiędzy projektowanym obiektem, a brzegami rzek, jezior i innych zbiorników wodnych. Uwzględniając łącznie powyższe argumenty należy uznać, iż realizacja przedmiotowego przedsięwzięcia nie spowoduje naruszenia zakazów wprowadzonych w życie przywołaną powyżej uchwałą.</w:t>
      </w:r>
    </w:p>
    <w:p w:rsidR="00006C53" w:rsidRDefault="00000000">
      <w:pPr>
        <w:autoSpaceDE w:val="0"/>
        <w:spacing w:line="276" w:lineRule="auto"/>
        <w:textAlignment w:val="auto"/>
        <w:rPr>
          <w:rFonts w:ascii="Arial" w:hAnsi="Arial" w:cs="Arial"/>
        </w:rPr>
      </w:pPr>
      <w:r>
        <w:rPr>
          <w:rFonts w:ascii="Arial" w:hAnsi="Arial" w:cs="Arial"/>
        </w:rPr>
        <w:t>Podczas inwentaryzacji przyrodniczej przeprowadzonej na potrzeby sporządzenia</w:t>
      </w:r>
    </w:p>
    <w:p w:rsidR="00006C53" w:rsidRDefault="00000000">
      <w:pPr>
        <w:autoSpaceDE w:val="0"/>
        <w:spacing w:line="276" w:lineRule="auto"/>
        <w:ind w:firstLine="0"/>
        <w:textAlignment w:val="auto"/>
        <w:rPr>
          <w:rFonts w:ascii="Arial" w:hAnsi="Arial" w:cs="Arial"/>
        </w:rPr>
      </w:pPr>
      <w:r>
        <w:rPr>
          <w:rFonts w:ascii="Arial" w:hAnsi="Arial" w:cs="Arial"/>
        </w:rPr>
        <w:t xml:space="preserve">„raportu </w:t>
      </w:r>
      <w:proofErr w:type="spellStart"/>
      <w:r>
        <w:rPr>
          <w:rFonts w:ascii="Arial" w:hAnsi="Arial" w:cs="Arial"/>
        </w:rPr>
        <w:t>ooś</w:t>
      </w:r>
      <w:proofErr w:type="spellEnd"/>
      <w:r>
        <w:rPr>
          <w:rFonts w:ascii="Arial" w:hAnsi="Arial" w:cs="Arial"/>
        </w:rPr>
        <w:t>”, na analizowanym obszarze i w jego pobliżu odnotowano 35 gatunki ptaków</w:t>
      </w:r>
    </w:p>
    <w:p w:rsidR="00006C53" w:rsidRDefault="00000000">
      <w:pPr>
        <w:autoSpaceDE w:val="0"/>
        <w:spacing w:line="276" w:lineRule="auto"/>
        <w:ind w:firstLine="0"/>
        <w:textAlignment w:val="auto"/>
        <w:rPr>
          <w:rFonts w:ascii="Arial" w:hAnsi="Arial" w:cs="Arial"/>
        </w:rPr>
      </w:pPr>
      <w:r>
        <w:rPr>
          <w:rFonts w:ascii="Arial" w:hAnsi="Arial" w:cs="Arial"/>
        </w:rPr>
        <w:t>typowych dla krajobrazu rolniczego, licznych na terenie całego kraju. Jedynie jeden</w:t>
      </w:r>
    </w:p>
    <w:p w:rsidR="00006C53" w:rsidRDefault="00000000">
      <w:pPr>
        <w:autoSpaceDE w:val="0"/>
        <w:spacing w:line="276" w:lineRule="auto"/>
        <w:ind w:firstLine="0"/>
        <w:textAlignment w:val="auto"/>
        <w:rPr>
          <w:rFonts w:ascii="Arial" w:hAnsi="Arial" w:cs="Arial"/>
        </w:rPr>
      </w:pPr>
      <w:r>
        <w:rPr>
          <w:rFonts w:ascii="Arial" w:hAnsi="Arial" w:cs="Arial"/>
        </w:rPr>
        <w:t>z zaobserwowanych gatunków, tj. żuraw, znajduje się na liście załącznika I Dyrektywy</w:t>
      </w:r>
    </w:p>
    <w:p w:rsidR="00006C53" w:rsidRDefault="00000000">
      <w:pPr>
        <w:autoSpaceDE w:val="0"/>
        <w:spacing w:line="276" w:lineRule="auto"/>
        <w:ind w:firstLine="0"/>
        <w:textAlignment w:val="auto"/>
        <w:rPr>
          <w:rFonts w:ascii="Arial" w:hAnsi="Arial" w:cs="Arial"/>
        </w:rPr>
      </w:pPr>
      <w:r>
        <w:rPr>
          <w:rFonts w:ascii="Arial" w:hAnsi="Arial" w:cs="Arial"/>
        </w:rPr>
        <w:t xml:space="preserve">Ptasiej, osobniki którego przelatywały nad buforem badawczym. Realizacja przedmiotowej inwestycji wyłącznie na gruntach dotychczas użytkowanych rolniczo nie powinna wpłynąć negatywnie na awifaunę. Zaobserwowane gatunki ptaków wykorzystywały ten obszar jedynie jako miejsce odpoczynku lub </w:t>
      </w:r>
      <w:proofErr w:type="spellStart"/>
      <w:r>
        <w:rPr>
          <w:rFonts w:ascii="Arial" w:hAnsi="Arial" w:cs="Arial"/>
        </w:rPr>
        <w:t>obserowowano</w:t>
      </w:r>
      <w:proofErr w:type="spellEnd"/>
      <w:r>
        <w:rPr>
          <w:rFonts w:ascii="Arial" w:hAnsi="Arial" w:cs="Arial"/>
        </w:rPr>
        <w:t xml:space="preserve"> je jedynie podczas przelotu nad terenem </w:t>
      </w:r>
      <w:r>
        <w:rPr>
          <w:rFonts w:ascii="Arial" w:hAnsi="Arial" w:cs="Arial"/>
        </w:rPr>
        <w:lastRenderedPageBreak/>
        <w:t>inwestycyjnym. Natomiast potencjalne miejsca lęgowe ornitofauny (m.in. żurawia,) znajdują się głównie poza obszarem inwestycyjnym.</w:t>
      </w:r>
    </w:p>
    <w:p w:rsidR="00006C53" w:rsidRDefault="00000000">
      <w:pPr>
        <w:autoSpaceDE w:val="0"/>
        <w:spacing w:line="276" w:lineRule="auto"/>
        <w:textAlignment w:val="auto"/>
        <w:rPr>
          <w:rFonts w:ascii="Arial" w:hAnsi="Arial" w:cs="Arial"/>
        </w:rPr>
      </w:pPr>
      <w:r>
        <w:rPr>
          <w:rFonts w:ascii="Arial" w:hAnsi="Arial" w:cs="Arial"/>
        </w:rPr>
        <w:t>Niemniej jednak w celu ograniczenia potencjalnego negatywnego oddziaływania</w:t>
      </w:r>
    </w:p>
    <w:p w:rsidR="00006C53" w:rsidRDefault="00000000">
      <w:pPr>
        <w:autoSpaceDE w:val="0"/>
        <w:spacing w:line="276" w:lineRule="auto"/>
        <w:ind w:firstLine="0"/>
        <w:textAlignment w:val="auto"/>
        <w:rPr>
          <w:rFonts w:ascii="Arial" w:hAnsi="Arial" w:cs="Arial"/>
        </w:rPr>
      </w:pPr>
      <w:r>
        <w:rPr>
          <w:rFonts w:ascii="Arial" w:hAnsi="Arial" w:cs="Arial"/>
        </w:rPr>
        <w:t>inwestycji na awifaunę, w tym zapobiegnięcia płoszenia ornitofauny podczas składania jaj</w:t>
      </w:r>
    </w:p>
    <w:p w:rsidR="00006C53" w:rsidRDefault="00000000">
      <w:pPr>
        <w:autoSpaceDE w:val="0"/>
        <w:spacing w:line="276" w:lineRule="auto"/>
        <w:ind w:firstLine="0"/>
        <w:textAlignment w:val="auto"/>
        <w:rPr>
          <w:rFonts w:ascii="Arial" w:hAnsi="Arial" w:cs="Arial"/>
        </w:rPr>
      </w:pPr>
      <w:r>
        <w:rPr>
          <w:rFonts w:ascii="Arial" w:hAnsi="Arial" w:cs="Arial"/>
        </w:rPr>
        <w:t>i wychowu młodych, zobowiązano wnioskodawcę, aby w przypadku rozpoczęcia robót</w:t>
      </w:r>
    </w:p>
    <w:p w:rsidR="00006C53" w:rsidRDefault="00000000">
      <w:pPr>
        <w:autoSpaceDE w:val="0"/>
        <w:spacing w:line="276" w:lineRule="auto"/>
        <w:ind w:firstLine="0"/>
        <w:textAlignment w:val="auto"/>
        <w:rPr>
          <w:rFonts w:ascii="Arial" w:hAnsi="Arial" w:cs="Arial"/>
        </w:rPr>
      </w:pPr>
      <w:r>
        <w:rPr>
          <w:rFonts w:ascii="Arial" w:hAnsi="Arial" w:cs="Arial"/>
        </w:rPr>
        <w:t>ziemnych w okresie lęgowym ptaków, czynności te prowadzić wyłącznie po wykonaniu pod</w:t>
      </w:r>
    </w:p>
    <w:p w:rsidR="00006C53" w:rsidRDefault="00000000">
      <w:pPr>
        <w:autoSpaceDE w:val="0"/>
        <w:spacing w:line="276" w:lineRule="auto"/>
        <w:ind w:firstLine="0"/>
        <w:textAlignment w:val="auto"/>
        <w:rPr>
          <w:rFonts w:ascii="Arial" w:hAnsi="Arial" w:cs="Arial"/>
        </w:rPr>
      </w:pPr>
      <w:r>
        <w:rPr>
          <w:rFonts w:ascii="Arial" w:hAnsi="Arial" w:cs="Arial"/>
        </w:rPr>
        <w:t>nadzorem ornitologicznym przeglądu terenu pod kątem jego zasiedlenia przez ptaki</w:t>
      </w:r>
    </w:p>
    <w:p w:rsidR="00006C53" w:rsidRDefault="00000000">
      <w:pPr>
        <w:autoSpaceDE w:val="0"/>
        <w:spacing w:line="276" w:lineRule="auto"/>
        <w:ind w:firstLine="0"/>
        <w:textAlignment w:val="auto"/>
        <w:rPr>
          <w:rFonts w:ascii="Arial" w:hAnsi="Arial" w:cs="Arial"/>
        </w:rPr>
      </w:pPr>
      <w:r>
        <w:rPr>
          <w:rFonts w:ascii="Arial" w:hAnsi="Arial" w:cs="Arial"/>
        </w:rPr>
        <w:t>i potwierdzeniu braku stanowisk lęgowych. Kontrolę zajęcia siedlisk należy przeprowadzić</w:t>
      </w:r>
    </w:p>
    <w:p w:rsidR="00006C53" w:rsidRDefault="00000000">
      <w:pPr>
        <w:autoSpaceDE w:val="0"/>
        <w:spacing w:line="276" w:lineRule="auto"/>
        <w:ind w:firstLine="0"/>
        <w:textAlignment w:val="auto"/>
        <w:rPr>
          <w:rFonts w:ascii="Arial" w:hAnsi="Arial" w:cs="Arial"/>
        </w:rPr>
      </w:pPr>
      <w:r>
        <w:rPr>
          <w:rFonts w:ascii="Arial" w:hAnsi="Arial" w:cs="Arial"/>
        </w:rPr>
        <w:t>nie wcześniej niż 3 dni przed rozpoczęciem ww. prac. W przypadku wykrycia lęgów</w:t>
      </w:r>
    </w:p>
    <w:p w:rsidR="00006C53" w:rsidRDefault="00000000">
      <w:pPr>
        <w:autoSpaceDE w:val="0"/>
        <w:spacing w:line="276" w:lineRule="auto"/>
        <w:ind w:firstLine="0"/>
        <w:textAlignment w:val="auto"/>
        <w:rPr>
          <w:rFonts w:ascii="Arial" w:hAnsi="Arial" w:cs="Arial"/>
        </w:rPr>
      </w:pPr>
      <w:r>
        <w:rPr>
          <w:rFonts w:ascii="Arial" w:hAnsi="Arial" w:cs="Arial"/>
        </w:rPr>
        <w:t>awifauny, należy zaprzestać prowadzenia prac do czasu stwierdzenia przez ornitologa</w:t>
      </w:r>
    </w:p>
    <w:p w:rsidR="00006C53" w:rsidRDefault="00000000">
      <w:pPr>
        <w:autoSpaceDE w:val="0"/>
        <w:spacing w:line="276" w:lineRule="auto"/>
        <w:ind w:firstLine="0"/>
        <w:textAlignment w:val="auto"/>
        <w:rPr>
          <w:rFonts w:ascii="Arial" w:hAnsi="Arial" w:cs="Arial"/>
        </w:rPr>
      </w:pPr>
      <w:r>
        <w:rPr>
          <w:rFonts w:ascii="Arial" w:hAnsi="Arial" w:cs="Arial"/>
        </w:rPr>
        <w:t>wyprowadzenia młodych z gniazd. Ponadto zastosowanie powłoki antyrefleksyjnej</w:t>
      </w:r>
    </w:p>
    <w:p w:rsidR="00006C53" w:rsidRDefault="00000000">
      <w:pPr>
        <w:autoSpaceDE w:val="0"/>
        <w:spacing w:line="276" w:lineRule="auto"/>
        <w:ind w:firstLine="0"/>
        <w:textAlignment w:val="auto"/>
        <w:rPr>
          <w:rFonts w:ascii="Arial" w:hAnsi="Arial" w:cs="Arial"/>
        </w:rPr>
      </w:pPr>
      <w:r>
        <w:rPr>
          <w:rFonts w:ascii="Arial" w:hAnsi="Arial" w:cs="Arial"/>
        </w:rPr>
        <w:t xml:space="preserve">w panelach fotowoltaicznych zminimalizuje oddziaływanie inwestycji na ornitofaunę, poprzez zwiększenie absorbcji promieniowania słonecznego oraz zapobieganie niepożądanemu efektowi odbicia światła od ich powierzchni. Dodatkowo w celu ochrony zwierząt przed okaleczeniem ze strony planowanego do wykonania ogrodzenia terenu inwestycyjnego, zobowiązano inwestora do ogrodzenia farmy bez zakończeń w postaci ostrych elementów, takich jak </w:t>
      </w:r>
      <w:proofErr w:type="gramStart"/>
      <w:r>
        <w:rPr>
          <w:rFonts w:ascii="Arial" w:hAnsi="Arial" w:cs="Arial"/>
        </w:rPr>
        <w:t>kolce,</w:t>
      </w:r>
      <w:proofErr w:type="gramEnd"/>
      <w:r>
        <w:rPr>
          <w:rFonts w:ascii="Arial" w:hAnsi="Arial" w:cs="Arial"/>
        </w:rPr>
        <w:t xml:space="preserve"> czy drut kolczasty.</w:t>
      </w:r>
    </w:p>
    <w:p w:rsidR="00006C53" w:rsidRDefault="00000000">
      <w:pPr>
        <w:spacing w:line="276" w:lineRule="auto"/>
        <w:rPr>
          <w:rFonts w:ascii="Arial" w:hAnsi="Arial" w:cs="Arial"/>
        </w:rPr>
      </w:pPr>
      <w:r>
        <w:rPr>
          <w:rFonts w:ascii="Arial" w:hAnsi="Arial" w:cs="Arial"/>
        </w:rPr>
        <w:t xml:space="preserve">Planowane zamierzenie inwestycyjne zlokalizowane jest w granicach korytarza ekologicznego pn. „Puszcza Koszalińska”. Korytarze ekologiczne są to liniowe pasy lasów, terenów porośniętych krzewami lub trawami, umożliwiające zwierzętom przemieszczanie się oraz dające schronienie i dostęp do pożywienia. Istnienie tych terenów warunkuje prawidłowy rozwój gatunków, umożliwia znalezienie terytorium, ułatwia ucieczkę przed drapieżnikami. Przedłożona inwentaryzacja przyrodnicza wykazała ślady bytowania na obszarze inwestycji 5 gatunków ssaków, takich jak: dzik europejski, jeleń szlachetny, sarna europejska, lis rudy i kret, niemniej jednak, migracja dużych zwierząt zachodzi przede wszystkim w obrębie kompleksów leśnych oraz wzdłuż cieków wodnych. W związku z tym, lokalne migracje zwierząt zachodzić będą nadal w obszarze okolicznych lasów. W związku z zajęciem pod inwestycję niewielkiego terenu, realizacja inwestycji nie spowoduje efektu bariery w ich przemieszczaniu się. Ponadto stwierdzono przemieszczanie się przez teren inwestycji pojedynczych okazów ropuchy szarej, żaby trawnej oraz jaszczurki zwinki w okresie ich migracji jesiennej. Niemniej jednak zrealizowanie przedmiotowej inwestycji umożliwi przemieszczanie się po terenie inwestycyjnym mniejszych zwierząt, w tym np. </w:t>
      </w:r>
      <w:proofErr w:type="spellStart"/>
      <w:r>
        <w:rPr>
          <w:rFonts w:ascii="Arial" w:hAnsi="Arial" w:cs="Arial"/>
        </w:rPr>
        <w:t>herpetofauny</w:t>
      </w:r>
      <w:proofErr w:type="spellEnd"/>
      <w:r>
        <w:rPr>
          <w:rFonts w:ascii="Arial" w:hAnsi="Arial" w:cs="Arial"/>
        </w:rPr>
        <w:t>.</w:t>
      </w:r>
    </w:p>
    <w:p w:rsidR="00006C53" w:rsidRDefault="00000000">
      <w:pPr>
        <w:spacing w:line="276" w:lineRule="auto"/>
        <w:rPr>
          <w:rFonts w:ascii="Arial" w:hAnsi="Arial" w:cs="Arial"/>
        </w:rPr>
      </w:pPr>
      <w:r>
        <w:rPr>
          <w:rFonts w:ascii="Arial" w:hAnsi="Arial" w:cs="Arial"/>
        </w:rPr>
        <w:t>Dodatkowo realizacja przedsięwzięcia, zgodnie z nałożonymi niniejszą decyzją warunkami dotyczącymi sposobu wygrodzenia terenu inwestycyjnego oraz wykaszania roślinności na etapie funkcjonowania elektrowni, pozwoli ograniczyć ryzyko negatywnego wpływu instalacji na typowe dla krajobrazu rolniczego gatunki zwierząt.</w:t>
      </w:r>
    </w:p>
    <w:p w:rsidR="00006C53" w:rsidRDefault="00000000">
      <w:pPr>
        <w:pStyle w:val="Standard"/>
        <w:spacing w:after="0"/>
        <w:ind w:firstLine="708"/>
        <w:rPr>
          <w:rFonts w:ascii="Arial" w:hAnsi="Arial" w:cs="Arial"/>
        </w:rPr>
      </w:pPr>
      <w:r>
        <w:rPr>
          <w:rFonts w:ascii="Arial" w:hAnsi="Arial" w:cs="Arial"/>
        </w:rPr>
        <w:t xml:space="preserve">Przedmiotowe przedsięwzięcie zlokalizowane jest w obszarze jednolitej części wód podziemnych </w:t>
      </w:r>
      <w:proofErr w:type="spellStart"/>
      <w:r>
        <w:rPr>
          <w:rFonts w:ascii="Arial" w:hAnsi="Arial" w:cs="Arial"/>
        </w:rPr>
        <w:t>JCWPd</w:t>
      </w:r>
      <w:proofErr w:type="spellEnd"/>
      <w:r>
        <w:rPr>
          <w:rFonts w:ascii="Arial" w:hAnsi="Arial" w:cs="Arial"/>
        </w:rPr>
        <w:t xml:space="preserve"> o kodzie GW60009, która charakteryzuje się dobrym stanem chemicznym i słabym stanem ilościowym. Stan ogólny dla </w:t>
      </w:r>
      <w:proofErr w:type="spellStart"/>
      <w:r>
        <w:rPr>
          <w:rFonts w:ascii="Arial" w:hAnsi="Arial" w:cs="Arial"/>
        </w:rPr>
        <w:t>JCWPd</w:t>
      </w:r>
      <w:proofErr w:type="spellEnd"/>
      <w:r>
        <w:rPr>
          <w:rFonts w:ascii="Arial" w:hAnsi="Arial" w:cs="Arial"/>
        </w:rPr>
        <w:t xml:space="preserve"> określono jako słaby. Ocena ryzyka nieosiągnięcia celu środowiskowego jest zagrożona ilościowo. Celami środowiskowymi dla </w:t>
      </w:r>
      <w:proofErr w:type="spellStart"/>
      <w:r>
        <w:rPr>
          <w:rFonts w:ascii="Arial" w:hAnsi="Arial" w:cs="Arial"/>
        </w:rPr>
        <w:t>JCWPd</w:t>
      </w:r>
      <w:proofErr w:type="spellEnd"/>
      <w:r>
        <w:rPr>
          <w:rFonts w:ascii="Arial" w:hAnsi="Arial" w:cs="Arial"/>
        </w:rPr>
        <w:t xml:space="preserve"> są: dobry stan chemiczny oraz dobry stan ilościowy. W obszarze jednolitej części wód powierzchniowych (JCWP) </w:t>
      </w:r>
      <w:proofErr w:type="spellStart"/>
      <w:r>
        <w:rPr>
          <w:rFonts w:ascii="Arial" w:hAnsi="Arial" w:cs="Arial"/>
        </w:rPr>
        <w:t>Radew</w:t>
      </w:r>
      <w:proofErr w:type="spellEnd"/>
      <w:r>
        <w:rPr>
          <w:rFonts w:ascii="Arial" w:hAnsi="Arial" w:cs="Arial"/>
        </w:rPr>
        <w:t xml:space="preserve"> od źródeł do </w:t>
      </w:r>
      <w:proofErr w:type="spellStart"/>
      <w:r>
        <w:rPr>
          <w:rFonts w:ascii="Arial" w:hAnsi="Arial" w:cs="Arial"/>
        </w:rPr>
        <w:t>Chocieli</w:t>
      </w:r>
      <w:proofErr w:type="spellEnd"/>
      <w:r>
        <w:rPr>
          <w:rFonts w:ascii="Arial" w:hAnsi="Arial" w:cs="Arial"/>
        </w:rPr>
        <w:t xml:space="preserve"> o kodzie RW60000944819. JCWP posiada status naturalnych części wód, charakteryzujący się dobrym stanem ekologicznym. Stan chemiczny nie został określony dla powyższej JCWP. Celami środowiskowymi dla JCWP są: dobry stan ekologiczny; zapewnienie drożności cieku według wymagań gatunków chronionych; zapewnienie drożności cieku dla migracji gatunków </w:t>
      </w:r>
      <w:r>
        <w:rPr>
          <w:rFonts w:ascii="Arial" w:hAnsi="Arial" w:cs="Arial"/>
        </w:rPr>
        <w:br/>
        <w:t xml:space="preserve"> o znaczeniu gospodarczym na odcinku cieku głównego </w:t>
      </w:r>
      <w:proofErr w:type="spellStart"/>
      <w:r>
        <w:rPr>
          <w:rFonts w:ascii="Arial" w:hAnsi="Arial" w:cs="Arial"/>
        </w:rPr>
        <w:t>Radew</w:t>
      </w:r>
      <w:proofErr w:type="spellEnd"/>
      <w:r>
        <w:rPr>
          <w:rFonts w:ascii="Arial" w:hAnsi="Arial" w:cs="Arial"/>
        </w:rPr>
        <w:t xml:space="preserve"> w obrębie JCWP (dla troci </w:t>
      </w:r>
      <w:r>
        <w:rPr>
          <w:rFonts w:ascii="Arial" w:hAnsi="Arial" w:cs="Arial"/>
        </w:rPr>
        <w:lastRenderedPageBreak/>
        <w:t xml:space="preserve">wędrownej) oraz dobry stan chemiczny. Ocena ryzyka nieosiągnięcia celu środowiskowego jest niezagrożona.   </w:t>
      </w:r>
    </w:p>
    <w:p w:rsidR="00006C53" w:rsidRDefault="00000000">
      <w:pPr>
        <w:pStyle w:val="Standard"/>
        <w:spacing w:after="0"/>
        <w:ind w:firstLine="708"/>
        <w:rPr>
          <w:rFonts w:ascii="Arial" w:hAnsi="Arial" w:cs="Arial"/>
        </w:rPr>
      </w:pPr>
      <w:r>
        <w:rPr>
          <w:rFonts w:ascii="Arial" w:hAnsi="Arial" w:cs="Arial"/>
        </w:rPr>
        <w:t>Inwestycja znajduje się poza strefami ochronnymi ujęć wody, poza obszarami ochronnymi zbiorników wód śródlądowych i GZWP (Głównym Zbiornikiem Wód Podziemnych).</w:t>
      </w:r>
    </w:p>
    <w:p w:rsidR="00006C53" w:rsidRDefault="00000000">
      <w:pPr>
        <w:pStyle w:val="Standard"/>
        <w:spacing w:after="0"/>
        <w:ind w:firstLine="708"/>
        <w:rPr>
          <w:rFonts w:ascii="Arial" w:hAnsi="Arial" w:cs="Arial"/>
        </w:rPr>
      </w:pPr>
      <w:r>
        <w:rPr>
          <w:rFonts w:ascii="Arial" w:hAnsi="Arial" w:cs="Arial"/>
        </w:rPr>
        <w:t>Mając zatem na uwadze zakres i charakter planowanego przedsięwzięcia tj., że inwestycja nie jest zlokalizowana na ciekach i nie wiąże się z wprowadzeniem ścieków bezpośrednio do wód i do ziemi, uznano, iż przedsięwzięcie nie narusza warunków określonych w Rozporządzeniu Ministra Infrastruktury z dnia 16 listopada 2022 r. w sprawie Planu gospodarowania wodami na obszarze dorzecza Odry (Dz. U. z 2023 r. poz. 335).</w:t>
      </w:r>
    </w:p>
    <w:p w:rsidR="00006C53" w:rsidRDefault="00000000">
      <w:pPr>
        <w:pStyle w:val="Standard"/>
        <w:spacing w:after="0"/>
        <w:ind w:firstLine="0"/>
      </w:pPr>
      <w:r>
        <w:rPr>
          <w:rFonts w:ascii="Arial" w:hAnsi="Arial" w:cs="Arial"/>
        </w:rPr>
        <w:t xml:space="preserve">Ponadto realizacja przedsięwzięcia nie spowoduje istotnych zmian w funkcjonowaniu JCW, jak również nie wystąpią trwałe, negatywne zmiany biologiczne, </w:t>
      </w:r>
      <w:proofErr w:type="spellStart"/>
      <w:r>
        <w:rPr>
          <w:rFonts w:ascii="Arial" w:hAnsi="Arial" w:cs="Arial"/>
        </w:rPr>
        <w:t>hydromorfologiczne</w:t>
      </w:r>
      <w:proofErr w:type="spellEnd"/>
      <w:r>
        <w:rPr>
          <w:rFonts w:ascii="Arial" w:hAnsi="Arial" w:cs="Arial"/>
        </w:rPr>
        <w:t xml:space="preserve"> oraz fizykochemiczne wód tego obszaru, </w:t>
      </w:r>
      <w:r>
        <w:rPr>
          <w:rFonts w:ascii="Arial" w:eastAsia="Times New Roman" w:hAnsi="Arial" w:cs="Arial"/>
          <w:lang w:eastAsia="pl-PL"/>
        </w:rPr>
        <w:t xml:space="preserve">oraz zostanie utrzymany sposób użytkowania i zagospodarowania zlewni. Podczas realizacji przedsięwzięcia nie ulegnie zasadniczo zmiana sposobu regulacji stosunków wodnych na przedmiotowym obszarze. Przedsięwzięcie nie będzie oddziaływać negatywnie na potencjał ekologiczny i stan chemiczny wód na etapie realizacji i </w:t>
      </w:r>
      <w:proofErr w:type="gramStart"/>
      <w:r>
        <w:rPr>
          <w:rFonts w:ascii="Arial" w:eastAsia="Times New Roman" w:hAnsi="Arial" w:cs="Arial"/>
          <w:lang w:eastAsia="pl-PL"/>
        </w:rPr>
        <w:t>eksploatacji  przedsięwzięcia</w:t>
      </w:r>
      <w:proofErr w:type="gramEnd"/>
      <w:r>
        <w:rPr>
          <w:rFonts w:ascii="Arial" w:eastAsia="Times New Roman" w:hAnsi="Arial" w:cs="Arial"/>
          <w:lang w:eastAsia="pl-PL"/>
        </w:rPr>
        <w:t>. Cel przedsięwzięcia nie narusza celu Ramowej Dyrektywy Wodnej.</w:t>
      </w:r>
    </w:p>
    <w:p w:rsidR="00006C53" w:rsidRDefault="00000000">
      <w:pPr>
        <w:pStyle w:val="Standard"/>
        <w:spacing w:after="0"/>
        <w:ind w:firstLine="708"/>
      </w:pPr>
      <w:r>
        <w:rPr>
          <w:rFonts w:ascii="Arial" w:eastAsia="Times New Roman" w:hAnsi="Arial" w:cs="Arial"/>
        </w:rPr>
        <w:t xml:space="preserve">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w:t>
      </w:r>
      <w:proofErr w:type="spellStart"/>
      <w:r>
        <w:rPr>
          <w:rFonts w:ascii="Arial" w:eastAsia="Times New Roman" w:hAnsi="Arial" w:cs="Arial"/>
        </w:rPr>
        <w:t>JCWPd</w:t>
      </w:r>
      <w:proofErr w:type="spellEnd"/>
      <w:r>
        <w:rPr>
          <w:rFonts w:ascii="Arial" w:eastAsia="Times New Roman" w:hAnsi="Arial" w:cs="Arial"/>
        </w:rPr>
        <w:t>.</w:t>
      </w:r>
    </w:p>
    <w:p w:rsidR="00006C53" w:rsidRDefault="00000000">
      <w:pPr>
        <w:pStyle w:val="Akapitzlist"/>
        <w:spacing w:after="0"/>
        <w:ind w:left="0" w:firstLine="708"/>
      </w:pPr>
      <w:r>
        <w:rPr>
          <w:rStyle w:val="alb"/>
          <w:rFonts w:ascii="Arial" w:hAnsi="Arial" w:cs="Arial"/>
        </w:rPr>
        <w:t xml:space="preserve">W myśl art. 79 ust. 1 ustawy </w:t>
      </w:r>
      <w:proofErr w:type="spellStart"/>
      <w:r>
        <w:rPr>
          <w:rStyle w:val="alb"/>
          <w:rFonts w:ascii="Arial" w:hAnsi="Arial" w:cs="Arial"/>
        </w:rPr>
        <w:t>ooś</w:t>
      </w:r>
      <w:proofErr w:type="spellEnd"/>
      <w:r>
        <w:rPr>
          <w:rStyle w:val="alb"/>
          <w:rFonts w:ascii="Arial" w:hAnsi="Arial" w:cs="Arial"/>
        </w:rPr>
        <w:t>, organ prowadzący postępowanie zapewnił możliwość udziału społeczeństwa w postępowaniu, wskazując w obwieszczeniu Burmistrza Polanowa z dnia 04 czerwca 2024 r. znak: GNR.IV.6220.8.2023.9 miejsce i 30-dniowy termin składania uwag i wniosków.</w:t>
      </w:r>
    </w:p>
    <w:p w:rsidR="00006C53" w:rsidRDefault="00000000">
      <w:pPr>
        <w:pStyle w:val="Akapitzlist"/>
        <w:spacing w:after="0"/>
        <w:ind w:left="0" w:firstLine="708"/>
      </w:pPr>
      <w:r>
        <w:rPr>
          <w:rStyle w:val="alb"/>
          <w:rFonts w:ascii="Arial" w:hAnsi="Arial" w:cs="Arial"/>
        </w:rPr>
        <w:t>We wskazanym terminie – w związku z przeprowadzonym postępowaniem wymagającym udziału społeczeństwa – do tut. organu nie wpłynęły żadne uwagi i wnioski związane z planowaną realizacją przedmiotowego przedsięwzięcia.</w:t>
      </w:r>
    </w:p>
    <w:p w:rsidR="00006C53" w:rsidRDefault="00000000">
      <w:pPr>
        <w:pStyle w:val="Akapitzlist"/>
        <w:spacing w:after="0"/>
        <w:ind w:left="0" w:firstLine="708"/>
      </w:pPr>
      <w:r>
        <w:rPr>
          <w:rFonts w:ascii="Arial" w:eastAsia="Times New Roman" w:hAnsi="Arial" w:cs="Arial"/>
          <w:lang w:eastAsia="pl-PL"/>
        </w:rPr>
        <w:t xml:space="preserve">Zgodnie z art. 10 </w:t>
      </w:r>
      <w:r>
        <w:rPr>
          <w:rStyle w:val="alb"/>
          <w:rFonts w:ascii="Arial" w:hAnsi="Arial" w:cs="Arial"/>
        </w:rPr>
        <w:t xml:space="preserve">§ 1 </w:t>
      </w:r>
      <w:proofErr w:type="spellStart"/>
      <w:r>
        <w:rPr>
          <w:rStyle w:val="alb"/>
          <w:rFonts w:ascii="Arial" w:hAnsi="Arial" w:cs="Arial"/>
        </w:rPr>
        <w:t>k.</w:t>
      </w:r>
      <w:proofErr w:type="gramStart"/>
      <w:r>
        <w:rPr>
          <w:rStyle w:val="alb"/>
          <w:rFonts w:ascii="Arial" w:hAnsi="Arial" w:cs="Arial"/>
        </w:rPr>
        <w:t>p.a</w:t>
      </w:r>
      <w:proofErr w:type="spellEnd"/>
      <w:proofErr w:type="gramEnd"/>
      <w:r>
        <w:rPr>
          <w:rStyle w:val="alb"/>
          <w:rFonts w:ascii="Arial" w:hAnsi="Arial" w:cs="Arial"/>
        </w:rPr>
        <w:t>, przed wydaniem decyzji, Burmistrz Polanowa  pismem z dnia 10 października 2024 r. znak: GNR.IV.6220.8.2023.15 poinformował strony o zakończeniu postępowania dowodowego oraz przysługującym prawie do wypowiedzenia się co do zebranych w sprawie dowodów i materiałów oraz zgłoszonych uwag, w terminie 14 dni od dnia doręczenia zawiadomienia. Z uwagi na fakt, iż liczba stron postępowania przekracza 10, zawiadomienia dokonano również w formie obwieszczenia przez udostępnienie go na tablicy ogłoszeń, na stronie Biuletynu Informacji Publicznej Urzędu Miejskiego w Polanowie.</w:t>
      </w:r>
    </w:p>
    <w:p w:rsidR="00006C53" w:rsidRDefault="00000000">
      <w:pPr>
        <w:pStyle w:val="Standard"/>
        <w:spacing w:after="0"/>
        <w:ind w:firstLine="12"/>
        <w:rPr>
          <w:rFonts w:ascii="Arial" w:hAnsi="Arial" w:cs="Arial"/>
        </w:rPr>
      </w:pPr>
      <w:r>
        <w:rPr>
          <w:rFonts w:ascii="Arial" w:hAnsi="Arial" w:cs="Arial"/>
        </w:rPr>
        <w:t xml:space="preserve">W toku postępowania, ze względu na szczegółowy oraz jednoznaczny opis planowanej do zastosowania technologii oraz stosowanych środków, mających na celu zmniejszenie negatywnego oddziaływania inwestycji na środowisko, nie stwierdzono konieczności przeprowadzenia ponownej oceny oddziaływania przedsięwzięcia na środowisko, w ramach postępowania w sprawie wydania decyzji, o których mowa w art. 72 ust. 1 pkt 1 „ustawy </w:t>
      </w:r>
      <w:proofErr w:type="spellStart"/>
      <w:r>
        <w:rPr>
          <w:rFonts w:ascii="Arial" w:hAnsi="Arial" w:cs="Arial"/>
        </w:rPr>
        <w:t>ooś</w:t>
      </w:r>
      <w:proofErr w:type="spellEnd"/>
      <w:r>
        <w:rPr>
          <w:rFonts w:ascii="Arial" w:hAnsi="Arial" w:cs="Arial"/>
        </w:rPr>
        <w:t>”.  Ze względu na lokalizację inwestycji w znacznym oddaleniu od granic państwa oraz przewidywany zasięg oddziaływania przedsięwzięcia nie wskazano na potrzebę przeprowadzenia postępowania w sprawie transgranicznego oddziaływania inwestycji na środowisko.</w:t>
      </w:r>
    </w:p>
    <w:p w:rsidR="00006C53" w:rsidRDefault="00000000">
      <w:pPr>
        <w:pStyle w:val="Akapitzlist"/>
        <w:spacing w:after="0"/>
        <w:ind w:left="0" w:firstLine="708"/>
      </w:pPr>
      <w:r>
        <w:rPr>
          <w:rStyle w:val="alb"/>
          <w:rFonts w:ascii="Arial" w:hAnsi="Arial" w:cs="Arial"/>
        </w:rPr>
        <w:t xml:space="preserve">Realizowane przedsięwzięcie nie zalicza się do przedsięwzięć stwarzających zagrożenie wystąpienia poważnych awarii określonych w rozporządzeniu Ministra Rozwoju z dnia 29 stycznia 2016 r. w sprawie rodzajów i ilości znajdujących się w zakładzie substancji </w:t>
      </w:r>
      <w:r>
        <w:rPr>
          <w:rStyle w:val="alb"/>
          <w:rFonts w:ascii="Arial" w:hAnsi="Arial" w:cs="Arial"/>
        </w:rPr>
        <w:lastRenderedPageBreak/>
        <w:t>niebezpiecznych, decydujących o zaliczeniu zakładu do zakładu o zwiększonym lub dużym ryzyku wystąpienia poważnej awarii przemysłowej (Dz. U. z 2016 r. poz. 138), zatem odstąpiono również od określenia warunków w tym zakresie.</w:t>
      </w:r>
    </w:p>
    <w:p w:rsidR="00006C53" w:rsidRDefault="00000000">
      <w:pPr>
        <w:pStyle w:val="Standard"/>
        <w:spacing w:after="0"/>
        <w:ind w:firstLine="708"/>
      </w:pPr>
      <w:r>
        <w:rPr>
          <w:rStyle w:val="alb"/>
          <w:rFonts w:ascii="Arial" w:hAnsi="Arial" w:cs="Arial"/>
        </w:rPr>
        <w:t>Wobec powyższego, po analizie całego materiału dowodowego stwierdzono, że planowana inwestycja realizowana na warunkach określonych w niniejszej decyzji nie spowoduje uciążliwego oddziaływania dla terenów sąsiednich, nie wpłynie na pogorszenie stanu środowiska przyrodniczego, nie będzie również miała niekorzystnego wpływu na warunki wodno-gruntowe.</w:t>
      </w:r>
    </w:p>
    <w:p w:rsidR="00006C53" w:rsidRDefault="00000000">
      <w:pPr>
        <w:pStyle w:val="Standard"/>
        <w:spacing w:before="240" w:after="240"/>
      </w:pPr>
      <w:r>
        <w:rPr>
          <w:rFonts w:ascii="Arial" w:hAnsi="Arial" w:cs="Arial"/>
          <w:b/>
          <w:color w:val="000000"/>
        </w:rPr>
        <w:t xml:space="preserve">Mając na uwadze powyższe orzeczono, jak </w:t>
      </w:r>
      <w:r>
        <w:rPr>
          <w:rFonts w:ascii="Arial" w:hAnsi="Arial" w:cs="Arial"/>
          <w:b/>
        </w:rPr>
        <w:t>w sentencji decyzji.</w:t>
      </w:r>
    </w:p>
    <w:p w:rsidR="00006C53" w:rsidRDefault="00000000">
      <w:pPr>
        <w:pStyle w:val="Style43"/>
        <w:shd w:val="clear" w:color="auto" w:fill="auto"/>
        <w:spacing w:after="0" w:line="276" w:lineRule="auto"/>
        <w:ind w:right="60" w:firstLine="0"/>
        <w:rPr>
          <w:rFonts w:ascii="Arial" w:hAnsi="Arial" w:cs="Arial"/>
          <w:b/>
          <w:i w:val="0"/>
        </w:rPr>
      </w:pPr>
      <w:r>
        <w:rPr>
          <w:rFonts w:ascii="Arial" w:hAnsi="Arial" w:cs="Arial"/>
          <w:b/>
          <w:i w:val="0"/>
        </w:rPr>
        <w:t>W załączeniu:</w:t>
      </w:r>
    </w:p>
    <w:p w:rsidR="00006C53" w:rsidRDefault="00000000">
      <w:pPr>
        <w:pStyle w:val="Standard"/>
        <w:spacing w:after="0"/>
        <w:ind w:firstLine="0"/>
        <w:jc w:val="both"/>
        <w:rPr>
          <w:rFonts w:ascii="Arial" w:hAnsi="Arial" w:cs="Arial"/>
          <w:sz w:val="18"/>
          <w:szCs w:val="18"/>
        </w:rPr>
      </w:pPr>
      <w:r>
        <w:rPr>
          <w:rFonts w:ascii="Arial" w:hAnsi="Arial" w:cs="Arial"/>
          <w:sz w:val="18"/>
          <w:szCs w:val="18"/>
        </w:rPr>
        <w:t>Załącznik nr 1 - Charakterystyka przedsięwzięcia</w:t>
      </w:r>
    </w:p>
    <w:p w:rsidR="00006C53" w:rsidRDefault="00000000">
      <w:pPr>
        <w:pStyle w:val="Standard"/>
        <w:tabs>
          <w:tab w:val="center" w:pos="7371"/>
        </w:tabs>
        <w:spacing w:before="720" w:after="0"/>
        <w:ind w:firstLine="0"/>
        <w:jc w:val="both"/>
        <w:rPr>
          <w:rFonts w:ascii="Arial" w:hAnsi="Arial" w:cs="Arial"/>
        </w:rPr>
      </w:pPr>
      <w:r>
        <w:rPr>
          <w:rFonts w:ascii="Arial" w:hAnsi="Arial" w:cs="Arial"/>
        </w:rPr>
        <w:tab/>
        <w:t>Burmistrz Polanowa</w:t>
      </w:r>
    </w:p>
    <w:p w:rsidR="00006C53" w:rsidRDefault="00000000">
      <w:pPr>
        <w:pStyle w:val="Standard"/>
        <w:tabs>
          <w:tab w:val="center" w:pos="7371"/>
        </w:tabs>
        <w:spacing w:after="0"/>
        <w:ind w:firstLine="0"/>
        <w:jc w:val="both"/>
        <w:rPr>
          <w:rFonts w:ascii="Arial" w:hAnsi="Arial" w:cs="Arial"/>
        </w:rPr>
      </w:pPr>
      <w:r>
        <w:rPr>
          <w:rFonts w:ascii="Arial" w:hAnsi="Arial" w:cs="Arial"/>
        </w:rPr>
        <w:tab/>
        <w:t>Grzegorz Lipski</w:t>
      </w:r>
    </w:p>
    <w:p w:rsidR="00006C53" w:rsidRDefault="00000000">
      <w:pPr>
        <w:pStyle w:val="Standard"/>
        <w:spacing w:before="1560" w:after="240"/>
        <w:ind w:firstLine="0"/>
        <w:jc w:val="center"/>
        <w:rPr>
          <w:rFonts w:ascii="Arial" w:hAnsi="Arial" w:cs="Arial"/>
          <w:b/>
          <w:sz w:val="18"/>
          <w:szCs w:val="18"/>
        </w:rPr>
      </w:pPr>
      <w:r>
        <w:rPr>
          <w:rFonts w:ascii="Arial" w:hAnsi="Arial" w:cs="Arial"/>
          <w:b/>
          <w:sz w:val="18"/>
          <w:szCs w:val="18"/>
        </w:rPr>
        <w:t>POUCZENIE</w:t>
      </w:r>
    </w:p>
    <w:p w:rsidR="00006C53" w:rsidRDefault="00000000">
      <w:pPr>
        <w:pStyle w:val="Akapitzlist"/>
        <w:numPr>
          <w:ilvl w:val="0"/>
          <w:numId w:val="23"/>
        </w:numPr>
        <w:spacing w:after="0"/>
        <w:ind w:left="714" w:hanging="357"/>
        <w:rPr>
          <w:rFonts w:ascii="Arial" w:hAnsi="Arial" w:cs="Arial"/>
          <w:sz w:val="18"/>
          <w:szCs w:val="18"/>
        </w:rPr>
      </w:pPr>
      <w:r>
        <w:rPr>
          <w:rFonts w:ascii="Arial" w:hAnsi="Arial" w:cs="Arial"/>
          <w:sz w:val="18"/>
          <w:szCs w:val="18"/>
        </w:rPr>
        <w:t xml:space="preserve">Od wydanej decyzji służy stronie odwołanie do Samorządowego Kolegium Odwoławczego w Koszalinie, za pośrednictwem Burmistrza </w:t>
      </w:r>
      <w:proofErr w:type="gramStart"/>
      <w:r>
        <w:rPr>
          <w:rFonts w:ascii="Arial" w:hAnsi="Arial" w:cs="Arial"/>
          <w:sz w:val="18"/>
          <w:szCs w:val="18"/>
        </w:rPr>
        <w:t>Polanowa ,</w:t>
      </w:r>
      <w:proofErr w:type="gramEnd"/>
      <w:r>
        <w:rPr>
          <w:rFonts w:ascii="Arial" w:hAnsi="Arial" w:cs="Arial"/>
          <w:sz w:val="18"/>
          <w:szCs w:val="18"/>
        </w:rPr>
        <w:t xml:space="preserve"> w terminie 14 dni od dnia doręczenia decyzji.</w:t>
      </w:r>
    </w:p>
    <w:p w:rsidR="00006C53" w:rsidRDefault="00000000">
      <w:pPr>
        <w:pStyle w:val="Akapitzlist"/>
        <w:numPr>
          <w:ilvl w:val="0"/>
          <w:numId w:val="23"/>
        </w:numPr>
        <w:spacing w:after="0"/>
        <w:ind w:left="714" w:hanging="357"/>
        <w:rPr>
          <w:rFonts w:ascii="Arial" w:hAnsi="Arial" w:cs="Arial"/>
          <w:sz w:val="18"/>
          <w:szCs w:val="18"/>
        </w:rPr>
      </w:pPr>
      <w:r>
        <w:rPr>
          <w:rFonts w:ascii="Arial" w:hAnsi="Arial" w:cs="Arial"/>
          <w:sz w:val="18"/>
          <w:szCs w:val="18"/>
        </w:rPr>
        <w:t>Stronie przysługuje możliwość zrzeczenia się odwołania, co skutkuje tym, że decyzja staje się decyzją prawomocną i ostateczną.</w:t>
      </w:r>
    </w:p>
    <w:p w:rsidR="00006C53" w:rsidRDefault="00000000">
      <w:pPr>
        <w:pStyle w:val="Akapitzlist"/>
        <w:numPr>
          <w:ilvl w:val="0"/>
          <w:numId w:val="23"/>
        </w:numPr>
        <w:spacing w:after="0"/>
        <w:ind w:left="714" w:hanging="357"/>
        <w:rPr>
          <w:rFonts w:ascii="Arial" w:hAnsi="Arial" w:cs="Arial"/>
          <w:sz w:val="18"/>
          <w:szCs w:val="18"/>
        </w:rPr>
      </w:pPr>
      <w:r>
        <w:rPr>
          <w:rFonts w:ascii="Arial" w:hAnsi="Arial" w:cs="Arial"/>
          <w:sz w:val="18"/>
          <w:szCs w:val="18"/>
        </w:rPr>
        <w:t xml:space="preserve">Zgodnie </w:t>
      </w:r>
      <w:proofErr w:type="gramStart"/>
      <w:r>
        <w:rPr>
          <w:rFonts w:ascii="Arial" w:hAnsi="Arial" w:cs="Arial"/>
          <w:sz w:val="18"/>
          <w:szCs w:val="18"/>
        </w:rPr>
        <w:t>z  art.</w:t>
      </w:r>
      <w:proofErr w:type="gramEnd"/>
      <w:r>
        <w:rPr>
          <w:rFonts w:ascii="Arial" w:hAnsi="Arial" w:cs="Arial"/>
          <w:sz w:val="18"/>
          <w:szCs w:val="18"/>
        </w:rPr>
        <w:t>130 § 4 kpa decyzja podlega wykonaniu przed terminem do wniesienia odwołania jako zgodna z żądaniem strony.</w:t>
      </w:r>
    </w:p>
    <w:p w:rsidR="00006C53" w:rsidRDefault="00000000">
      <w:pPr>
        <w:pStyle w:val="Akapitzlist"/>
        <w:numPr>
          <w:ilvl w:val="0"/>
          <w:numId w:val="23"/>
        </w:numPr>
        <w:spacing w:after="0"/>
        <w:ind w:left="714" w:hanging="357"/>
        <w:rPr>
          <w:rFonts w:ascii="Arial" w:hAnsi="Arial" w:cs="Arial"/>
          <w:sz w:val="18"/>
          <w:szCs w:val="18"/>
        </w:rPr>
      </w:pPr>
      <w:r>
        <w:rPr>
          <w:rFonts w:ascii="Arial" w:hAnsi="Arial" w:cs="Arial"/>
          <w:sz w:val="18"/>
          <w:szCs w:val="18"/>
        </w:rPr>
        <w:t xml:space="preserve">Decyzja o środowiskowych uwarunkowaniach, jako załącznik do wniosku o wydanie decyzji, o których mowa w art. 72 ust. 1 oraz zgłoszenia, o którym mowa w art. 72 ust. 1a ustawy OOŚ, może zostać złożona w terminie 6 lat od dnia, w którym stała się ona </w:t>
      </w:r>
      <w:proofErr w:type="gramStart"/>
      <w:r>
        <w:rPr>
          <w:rFonts w:ascii="Arial" w:hAnsi="Arial" w:cs="Arial"/>
          <w:sz w:val="18"/>
          <w:szCs w:val="18"/>
        </w:rPr>
        <w:t>ostateczna,  z</w:t>
      </w:r>
      <w:proofErr w:type="gramEnd"/>
      <w:r>
        <w:rPr>
          <w:rFonts w:ascii="Arial" w:hAnsi="Arial" w:cs="Arial"/>
          <w:sz w:val="18"/>
          <w:szCs w:val="18"/>
        </w:rPr>
        <w:t xml:space="preserve"> zastrzeżeniem art. 72 ust. 4 i 4b ust. OOŚ.</w:t>
      </w:r>
    </w:p>
    <w:p w:rsidR="00006C53" w:rsidRDefault="00000000">
      <w:pPr>
        <w:pStyle w:val="Style43"/>
        <w:shd w:val="clear" w:color="auto" w:fill="auto"/>
        <w:spacing w:before="531" w:after="228" w:line="276" w:lineRule="auto"/>
        <w:ind w:left="720" w:right="62" w:firstLine="0"/>
        <w:jc w:val="left"/>
      </w:pPr>
      <w:r>
        <w:rPr>
          <w:rStyle w:val="CharStyle44"/>
          <w:rFonts w:ascii="Arial" w:hAnsi="Arial" w:cs="Arial"/>
          <w:i/>
        </w:rPr>
        <w:t>Oplata skarbowa w wysokości 205,00 zł wniesiona na konto Urzędu Miejskiego w Polanowie pobrana zgodnie z częścią I ust. 45 załącznika do ustawy z dnia 16 listopada 2006r. o opłacie skarbowej (Dz. U. z 2025 r., poz. 1154)</w:t>
      </w:r>
    </w:p>
    <w:p w:rsidR="00006C53" w:rsidRDefault="00000000">
      <w:pPr>
        <w:pStyle w:val="Standard"/>
        <w:spacing w:before="1320" w:after="0"/>
        <w:ind w:firstLine="0"/>
      </w:pPr>
      <w:bookmarkStart w:id="0" w:name="_Hlk173410750"/>
      <w:r>
        <w:rPr>
          <w:rFonts w:ascii="Arial" w:hAnsi="Arial" w:cs="Arial"/>
          <w:b/>
          <w:color w:val="000000"/>
          <w:sz w:val="18"/>
          <w:szCs w:val="18"/>
        </w:rPr>
        <w:t>Otrzymują</w:t>
      </w:r>
    </w:p>
    <w:p w:rsidR="00006C53" w:rsidRDefault="00000000">
      <w:pPr>
        <w:pStyle w:val="Akapitzlist"/>
        <w:numPr>
          <w:ilvl w:val="0"/>
          <w:numId w:val="3"/>
        </w:numPr>
        <w:spacing w:after="0"/>
        <w:ind w:left="777"/>
        <w:rPr>
          <w:rFonts w:ascii="Arial" w:eastAsia="Times New Roman" w:hAnsi="Arial" w:cs="Arial"/>
          <w:bCs/>
          <w:sz w:val="18"/>
          <w:szCs w:val="18"/>
        </w:rPr>
      </w:pPr>
      <w:r>
        <w:rPr>
          <w:rFonts w:ascii="Arial" w:eastAsia="Times New Roman" w:hAnsi="Arial" w:cs="Arial"/>
          <w:bCs/>
          <w:sz w:val="18"/>
          <w:szCs w:val="18"/>
        </w:rPr>
        <w:t>PROJEKT ENERGIA Sp. z o.o., ul. Grunwaldzka 229, 85-451 Bydgoszcz</w:t>
      </w:r>
    </w:p>
    <w:p w:rsidR="00006C53" w:rsidRDefault="00000000">
      <w:pPr>
        <w:pStyle w:val="Akapitzlist"/>
        <w:widowControl w:val="0"/>
        <w:numPr>
          <w:ilvl w:val="0"/>
          <w:numId w:val="3"/>
        </w:numPr>
        <w:spacing w:after="0"/>
        <w:ind w:left="777"/>
        <w:jc w:val="both"/>
        <w:rPr>
          <w:rFonts w:ascii="Arial" w:hAnsi="Arial" w:cs="Arial"/>
          <w:color w:val="000000"/>
          <w:sz w:val="18"/>
          <w:szCs w:val="18"/>
        </w:rPr>
      </w:pPr>
      <w:r>
        <w:rPr>
          <w:rFonts w:ascii="Arial" w:hAnsi="Arial" w:cs="Arial"/>
          <w:color w:val="000000"/>
          <w:sz w:val="18"/>
          <w:szCs w:val="18"/>
        </w:rPr>
        <w:t>a/a</w:t>
      </w:r>
    </w:p>
    <w:bookmarkEnd w:id="0"/>
    <w:p w:rsidR="00006C53" w:rsidRDefault="00000000">
      <w:pPr>
        <w:pStyle w:val="Standard"/>
        <w:widowControl w:val="0"/>
        <w:spacing w:before="360" w:after="0"/>
        <w:ind w:firstLine="0"/>
        <w:jc w:val="both"/>
        <w:rPr>
          <w:rFonts w:ascii="Arial" w:hAnsi="Arial" w:cs="Arial"/>
          <w:b/>
          <w:color w:val="000000"/>
          <w:sz w:val="18"/>
          <w:szCs w:val="18"/>
        </w:rPr>
      </w:pPr>
      <w:r>
        <w:rPr>
          <w:rFonts w:ascii="Arial" w:hAnsi="Arial" w:cs="Arial"/>
          <w:b/>
          <w:color w:val="000000"/>
          <w:sz w:val="18"/>
          <w:szCs w:val="18"/>
        </w:rPr>
        <w:t xml:space="preserve">Do wiadomości: </w:t>
      </w:r>
    </w:p>
    <w:p w:rsidR="00006C53" w:rsidRDefault="00000000">
      <w:pPr>
        <w:pStyle w:val="Akapitzlist"/>
        <w:numPr>
          <w:ilvl w:val="0"/>
          <w:numId w:val="6"/>
        </w:numPr>
        <w:spacing w:after="0"/>
        <w:jc w:val="both"/>
        <w:rPr>
          <w:rFonts w:ascii="Arial" w:hAnsi="Arial" w:cs="Arial"/>
          <w:color w:val="000000"/>
          <w:sz w:val="18"/>
          <w:szCs w:val="18"/>
        </w:rPr>
      </w:pPr>
      <w:r>
        <w:rPr>
          <w:rFonts w:ascii="Arial" w:hAnsi="Arial" w:cs="Arial"/>
          <w:color w:val="000000"/>
          <w:sz w:val="18"/>
          <w:szCs w:val="18"/>
        </w:rPr>
        <w:t>Regionalna Dyrekcja Ochrony Środowiska w Szczecinie, Wydział Spraw Terenowych w Koszalinie, ul. Mieszka I 24, 75-132 Koszalin</w:t>
      </w:r>
    </w:p>
    <w:p w:rsidR="00006C53" w:rsidRDefault="00000000">
      <w:pPr>
        <w:pStyle w:val="Akapitzlist"/>
        <w:numPr>
          <w:ilvl w:val="0"/>
          <w:numId w:val="6"/>
        </w:numPr>
        <w:spacing w:after="0"/>
        <w:jc w:val="both"/>
        <w:rPr>
          <w:rFonts w:ascii="Arial" w:hAnsi="Arial" w:cs="Arial"/>
          <w:color w:val="000000"/>
          <w:sz w:val="18"/>
          <w:szCs w:val="18"/>
        </w:rPr>
      </w:pPr>
      <w:r>
        <w:rPr>
          <w:rFonts w:ascii="Arial" w:hAnsi="Arial" w:cs="Arial"/>
          <w:color w:val="000000"/>
          <w:sz w:val="18"/>
          <w:szCs w:val="18"/>
        </w:rPr>
        <w:t>Państwowy Powiatowy Inspektor Sanitarny w Koszalinie, ul. Zwycięstwa 136, 75-613 Koszalin</w:t>
      </w:r>
    </w:p>
    <w:p w:rsidR="00006C53" w:rsidRDefault="00000000">
      <w:pPr>
        <w:pStyle w:val="Akapitzlist"/>
        <w:widowControl w:val="0"/>
        <w:numPr>
          <w:ilvl w:val="0"/>
          <w:numId w:val="6"/>
        </w:numPr>
        <w:spacing w:after="0"/>
      </w:pPr>
      <w:r>
        <w:rPr>
          <w:rFonts w:ascii="Arial" w:hAnsi="Arial" w:cs="Arial"/>
          <w:color w:val="000000"/>
          <w:sz w:val="18"/>
          <w:szCs w:val="18"/>
        </w:rPr>
        <w:t>Państwowe Gospodarstwo Wodne Wody Polskie, ZZ w Koszalinie, ul. Zwycięstwa 111, 75-601 Koszalin</w:t>
      </w:r>
      <w:r>
        <w:rPr>
          <w:rFonts w:ascii="Arial" w:hAnsi="Arial" w:cs="Arial"/>
          <w:sz w:val="18"/>
          <w:szCs w:val="18"/>
        </w:rPr>
        <w:t xml:space="preserve">                                                                                                                                                                                                                                                                                    </w:t>
      </w:r>
      <w:r>
        <w:rPr>
          <w:rFonts w:ascii="Arial" w:hAnsi="Arial" w:cs="Arial"/>
          <w:color w:val="00B050"/>
          <w:sz w:val="18"/>
          <w:szCs w:val="18"/>
        </w:rPr>
        <w:t xml:space="preserve">                                                                                                                                                                                                                                                                                                                                                                                                                                                                                                                                                                              </w:t>
      </w:r>
    </w:p>
    <w:sectPr w:rsidR="00006C53">
      <w:footerReference w:type="default" r:id="rId7"/>
      <w:pgSz w:w="11906" w:h="16838"/>
      <w:pgMar w:top="993" w:right="1417" w:bottom="1276" w:left="1417" w:header="708" w:footer="1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1738" w:rsidRDefault="00971738">
      <w:r>
        <w:separator/>
      </w:r>
    </w:p>
  </w:endnote>
  <w:endnote w:type="continuationSeparator" w:id="0">
    <w:p w:rsidR="00971738" w:rsidRDefault="00971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20B0604020202020204"/>
    <w:charset w:val="00"/>
    <w:family w:val="swiss"/>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Stopka"/>
      <w:jc w:val="right"/>
    </w:pPr>
    <w:r>
      <w:t xml:space="preserve">Strona </w:t>
    </w:r>
    <w:r>
      <w:rPr>
        <w:b/>
        <w:sz w:val="24"/>
        <w:szCs w:val="24"/>
      </w:rPr>
      <w:fldChar w:fldCharType="begin"/>
    </w:r>
    <w:r>
      <w:rPr>
        <w:b/>
        <w:sz w:val="24"/>
        <w:szCs w:val="24"/>
      </w:rPr>
      <w:instrText xml:space="preserve"> PAGE </w:instrText>
    </w:r>
    <w:r>
      <w:rPr>
        <w:b/>
        <w:sz w:val="24"/>
        <w:szCs w:val="24"/>
      </w:rPr>
      <w:fldChar w:fldCharType="separate"/>
    </w:r>
    <w:r>
      <w:rPr>
        <w:b/>
        <w:sz w:val="24"/>
        <w:szCs w:val="24"/>
      </w:rPr>
      <w:t>13</w:t>
    </w:r>
    <w:r>
      <w:rPr>
        <w:b/>
        <w:sz w:val="24"/>
        <w:szCs w:val="24"/>
      </w:rPr>
      <w:fldChar w:fldCharType="end"/>
    </w:r>
    <w:r>
      <w:t xml:space="preserve"> z </w:t>
    </w:r>
    <w:r>
      <w:rPr>
        <w:b/>
        <w:sz w:val="24"/>
        <w:szCs w:val="24"/>
      </w:rPr>
      <w:fldChar w:fldCharType="begin"/>
    </w:r>
    <w:r>
      <w:rPr>
        <w:b/>
        <w:sz w:val="24"/>
        <w:szCs w:val="24"/>
      </w:rPr>
      <w:instrText xml:space="preserve"> NUMPAGES </w:instrText>
    </w:r>
    <w:r>
      <w:rPr>
        <w:b/>
        <w:sz w:val="24"/>
        <w:szCs w:val="24"/>
      </w:rPr>
      <w:fldChar w:fldCharType="separate"/>
    </w:r>
    <w:r>
      <w:rPr>
        <w:b/>
        <w:sz w:val="24"/>
        <w:szCs w:val="24"/>
      </w:rPr>
      <w:t>13</w:t>
    </w:r>
    <w:r>
      <w:rPr>
        <w:b/>
        <w:sz w:val="24"/>
        <w:szCs w:val="24"/>
      </w:rPr>
      <w:fldChar w:fldCharType="end"/>
    </w:r>
  </w:p>
  <w:p w:rsidR="00000000"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1738" w:rsidRDefault="00971738">
      <w:r>
        <w:rPr>
          <w:color w:val="000000"/>
        </w:rPr>
        <w:separator/>
      </w:r>
    </w:p>
  </w:footnote>
  <w:footnote w:type="continuationSeparator" w:id="0">
    <w:p w:rsidR="00971738" w:rsidRDefault="009717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206EA"/>
    <w:multiLevelType w:val="multilevel"/>
    <w:tmpl w:val="DC6CC11A"/>
    <w:styleLink w:val="WWNum12"/>
    <w:lvl w:ilvl="0">
      <w:start w:val="1"/>
      <w:numFmt w:val="decimal"/>
      <w:lvlText w:val="%1."/>
      <w:lvlJc w:val="left"/>
      <w:pPr>
        <w:ind w:left="720" w:hanging="360"/>
      </w:pPr>
      <w:rPr>
        <w:rFonts w:ascii="Arial" w:hAnsi="Arial"/>
        <w:b/>
        <w:bCs/>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E06D58"/>
    <w:multiLevelType w:val="multilevel"/>
    <w:tmpl w:val="22B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127C56"/>
    <w:multiLevelType w:val="multilevel"/>
    <w:tmpl w:val="9172526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60676FC"/>
    <w:multiLevelType w:val="multilevel"/>
    <w:tmpl w:val="CAF46798"/>
    <w:styleLink w:val="WWNum1"/>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E57BED"/>
    <w:multiLevelType w:val="multilevel"/>
    <w:tmpl w:val="F8380FFA"/>
    <w:lvl w:ilvl="0">
      <w:start w:val="1"/>
      <w:numFmt w:val="decimal"/>
      <w:lvlText w:val="%1."/>
      <w:lvlJc w:val="left"/>
      <w:pPr>
        <w:ind w:left="644" w:hanging="360"/>
      </w:pPr>
      <w:rPr>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2FA8697B"/>
    <w:multiLevelType w:val="multilevel"/>
    <w:tmpl w:val="AD16BF0E"/>
    <w:styleLink w:val="WWNum2"/>
    <w:lvl w:ilvl="0">
      <w:start w:val="1"/>
      <w:numFmt w:val="decimal"/>
      <w:lvlText w:val="%1."/>
      <w:lvlJc w:val="left"/>
      <w:pPr>
        <w:ind w:left="780" w:hanging="420"/>
      </w:pPr>
      <w:rPr>
        <w:rFonts w:ascii="Arial" w:hAnsi="Arial" w:cs="Arial"/>
        <w:b w:val="0"/>
        <w:bCs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1A00E5A"/>
    <w:multiLevelType w:val="multilevel"/>
    <w:tmpl w:val="8BE8E24C"/>
    <w:styleLink w:val="WWNum3"/>
    <w:lvl w:ilvl="0">
      <w:start w:val="1"/>
      <w:numFmt w:val="decimal"/>
      <w:lvlText w:val="%1."/>
      <w:lvlJc w:val="left"/>
      <w:pPr>
        <w:ind w:left="704" w:hanging="420"/>
      </w:pPr>
      <w:rPr>
        <w:b w:val="0"/>
        <w:sz w:val="22"/>
        <w:szCs w:val="22"/>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15:restartNumberingAfterBreak="0">
    <w:nsid w:val="33CE258F"/>
    <w:multiLevelType w:val="multilevel"/>
    <w:tmpl w:val="3808EC3A"/>
    <w:styleLink w:val="WWNum14"/>
    <w:lvl w:ilvl="0">
      <w:start w:val="1"/>
      <w:numFmt w:val="decimal"/>
      <w:lvlText w:val="%1."/>
      <w:lvlJc w:val="left"/>
      <w:pPr>
        <w:ind w:left="720" w:hanging="360"/>
      </w:pPr>
      <w:rPr>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9A82EF0"/>
    <w:multiLevelType w:val="multilevel"/>
    <w:tmpl w:val="B69C0B36"/>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2284CE8"/>
    <w:multiLevelType w:val="multilevel"/>
    <w:tmpl w:val="28D25368"/>
    <w:styleLink w:val="WWNum10"/>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0" w15:restartNumberingAfterBreak="0">
    <w:nsid w:val="44D727D2"/>
    <w:multiLevelType w:val="multilevel"/>
    <w:tmpl w:val="A25895D0"/>
    <w:styleLink w:val="WWNum8"/>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84201D"/>
    <w:multiLevelType w:val="multilevel"/>
    <w:tmpl w:val="66540ACC"/>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2" w15:restartNumberingAfterBreak="0">
    <w:nsid w:val="467A6FEC"/>
    <w:multiLevelType w:val="multilevel"/>
    <w:tmpl w:val="053632D2"/>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7CE681D"/>
    <w:multiLevelType w:val="multilevel"/>
    <w:tmpl w:val="D7D6A8D8"/>
    <w:lvl w:ilvl="0">
      <w:start w:val="1"/>
      <w:numFmt w:val="upperRoman"/>
      <w:lvlText w:val="%1."/>
      <w:lvlJc w:val="left"/>
      <w:pPr>
        <w:ind w:left="1004" w:hanging="72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AF04E5"/>
    <w:multiLevelType w:val="multilevel"/>
    <w:tmpl w:val="ED1CEB6E"/>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1991934"/>
    <w:multiLevelType w:val="multilevel"/>
    <w:tmpl w:val="4BC075C2"/>
    <w:styleLink w:val="WWNum5"/>
    <w:lvl w:ilvl="0">
      <w:start w:val="1"/>
      <w:numFmt w:val="decimal"/>
      <w:lvlText w:val="%1."/>
      <w:lvlJc w:val="left"/>
      <w:pPr>
        <w:ind w:left="922" w:hanging="4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6" w15:restartNumberingAfterBreak="0">
    <w:nsid w:val="524A3214"/>
    <w:multiLevelType w:val="multilevel"/>
    <w:tmpl w:val="DB8ADAEC"/>
    <w:styleLink w:val="WWNum15"/>
    <w:lvl w:ilvl="0">
      <w:start w:val="1"/>
      <w:numFmt w:val="decimal"/>
      <w:lvlText w:val="%1."/>
      <w:lvlJc w:val="left"/>
      <w:pPr>
        <w:ind w:left="720" w:hanging="360"/>
      </w:pPr>
      <w:rPr>
        <w:rFonts w:ascii="Arial" w:hAnsi="Arial"/>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DCB76FC"/>
    <w:multiLevelType w:val="multilevel"/>
    <w:tmpl w:val="C48230CA"/>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EEA52EC"/>
    <w:multiLevelType w:val="multilevel"/>
    <w:tmpl w:val="E7CE80A6"/>
    <w:styleLink w:val="WWNum7"/>
    <w:lvl w:ilvl="0">
      <w:start w:val="10"/>
      <w:numFmt w:val="decimal"/>
      <w:lvlText w:val="%1."/>
      <w:lvlJc w:val="left"/>
      <w:rPr>
        <w:b w:val="0"/>
        <w:bCs w:val="0"/>
        <w:i w:val="0"/>
        <w:iCs w:val="0"/>
        <w:caps w:val="0"/>
        <w:smallCaps w:val="0"/>
        <w:strike w:val="0"/>
        <w:dstrike w:val="0"/>
        <w:color w:val="000000"/>
        <w:spacing w:val="0"/>
        <w:w w:val="100"/>
        <w:sz w:val="23"/>
        <w:szCs w:val="23"/>
        <w:u w:val="none"/>
      </w:rPr>
    </w:lvl>
    <w:lvl w:ilvl="1">
      <w:start w:val="10"/>
      <w:numFmt w:val="decimal"/>
      <w:lvlText w:val="%1.%2."/>
      <w:lvlJc w:val="left"/>
      <w:rPr>
        <w:b w:val="0"/>
        <w:bCs w:val="0"/>
        <w:i w:val="0"/>
        <w:iCs w:val="0"/>
        <w:caps w:val="0"/>
        <w:smallCaps w:val="0"/>
        <w:strike w:val="0"/>
        <w:dstrike w:val="0"/>
        <w:color w:val="000000"/>
        <w:spacing w:val="0"/>
        <w:w w:val="100"/>
        <w:sz w:val="23"/>
        <w:szCs w:val="23"/>
        <w:u w:val="none"/>
      </w:rPr>
    </w:lvl>
    <w:lvl w:ilvl="2">
      <w:start w:val="10"/>
      <w:numFmt w:val="decimal"/>
      <w:lvlText w:val="%1.%2.%3."/>
      <w:lvlJc w:val="left"/>
      <w:rPr>
        <w:b w:val="0"/>
        <w:bCs w:val="0"/>
        <w:i w:val="0"/>
        <w:iCs w:val="0"/>
        <w:caps w:val="0"/>
        <w:smallCaps w:val="0"/>
        <w:strike w:val="0"/>
        <w:dstrike w:val="0"/>
        <w:color w:val="000000"/>
        <w:spacing w:val="0"/>
        <w:w w:val="100"/>
        <w:sz w:val="23"/>
        <w:szCs w:val="23"/>
        <w:u w:val="none"/>
      </w:rPr>
    </w:lvl>
    <w:lvl w:ilvl="3">
      <w:start w:val="10"/>
      <w:numFmt w:val="decimal"/>
      <w:lvlText w:val="%1.%2.%3.%4."/>
      <w:lvlJc w:val="left"/>
      <w:rPr>
        <w:b w:val="0"/>
        <w:bCs w:val="0"/>
        <w:i w:val="0"/>
        <w:iCs w:val="0"/>
        <w:caps w:val="0"/>
        <w:smallCaps w:val="0"/>
        <w:strike w:val="0"/>
        <w:dstrike w:val="0"/>
        <w:color w:val="000000"/>
        <w:spacing w:val="0"/>
        <w:w w:val="100"/>
        <w:sz w:val="23"/>
        <w:szCs w:val="23"/>
        <w:u w:val="none"/>
      </w:rPr>
    </w:lvl>
    <w:lvl w:ilvl="4">
      <w:start w:val="10"/>
      <w:numFmt w:val="decimal"/>
      <w:lvlText w:val="%1.%2.%3.%4.%5."/>
      <w:lvlJc w:val="left"/>
      <w:rPr>
        <w:b w:val="0"/>
        <w:bCs w:val="0"/>
        <w:i w:val="0"/>
        <w:iCs w:val="0"/>
        <w:caps w:val="0"/>
        <w:smallCaps w:val="0"/>
        <w:strike w:val="0"/>
        <w:dstrike w:val="0"/>
        <w:color w:val="000000"/>
        <w:spacing w:val="0"/>
        <w:w w:val="100"/>
        <w:sz w:val="23"/>
        <w:szCs w:val="23"/>
        <w:u w:val="none"/>
      </w:rPr>
    </w:lvl>
    <w:lvl w:ilvl="5">
      <w:start w:val="10"/>
      <w:numFmt w:val="decimal"/>
      <w:lvlText w:val="%1.%2.%3.%4.%5.%6."/>
      <w:lvlJc w:val="left"/>
      <w:rPr>
        <w:b w:val="0"/>
        <w:bCs w:val="0"/>
        <w:i w:val="0"/>
        <w:iCs w:val="0"/>
        <w:caps w:val="0"/>
        <w:smallCaps w:val="0"/>
        <w:strike w:val="0"/>
        <w:dstrike w:val="0"/>
        <w:color w:val="000000"/>
        <w:spacing w:val="0"/>
        <w:w w:val="100"/>
        <w:sz w:val="23"/>
        <w:szCs w:val="23"/>
        <w:u w:val="none"/>
      </w:rPr>
    </w:lvl>
    <w:lvl w:ilvl="6">
      <w:start w:val="10"/>
      <w:numFmt w:val="decimal"/>
      <w:lvlText w:val="%1.%2.%3.%4.%5.%6.%7."/>
      <w:lvlJc w:val="left"/>
      <w:rPr>
        <w:b w:val="0"/>
        <w:bCs w:val="0"/>
        <w:i w:val="0"/>
        <w:iCs w:val="0"/>
        <w:caps w:val="0"/>
        <w:smallCaps w:val="0"/>
        <w:strike w:val="0"/>
        <w:dstrike w:val="0"/>
        <w:color w:val="000000"/>
        <w:spacing w:val="0"/>
        <w:w w:val="100"/>
        <w:sz w:val="23"/>
        <w:szCs w:val="23"/>
        <w:u w:val="none"/>
      </w:rPr>
    </w:lvl>
    <w:lvl w:ilvl="7">
      <w:start w:val="10"/>
      <w:numFmt w:val="decimal"/>
      <w:lvlText w:val="%1.%2.%3.%4.%5.%6.%7.%8."/>
      <w:lvlJc w:val="left"/>
      <w:rPr>
        <w:b w:val="0"/>
        <w:bCs w:val="0"/>
        <w:i w:val="0"/>
        <w:iCs w:val="0"/>
        <w:caps w:val="0"/>
        <w:smallCaps w:val="0"/>
        <w:strike w:val="0"/>
        <w:dstrike w:val="0"/>
        <w:color w:val="000000"/>
        <w:spacing w:val="0"/>
        <w:w w:val="100"/>
        <w:sz w:val="23"/>
        <w:szCs w:val="23"/>
        <w:u w:val="none"/>
      </w:rPr>
    </w:lvl>
    <w:lvl w:ilvl="8">
      <w:start w:val="10"/>
      <w:numFmt w:val="decimal"/>
      <w:lvlText w:val="%1.%2.%3.%4.%5.%6.%7.%8.%9."/>
      <w:lvlJc w:val="left"/>
      <w:rPr>
        <w:b w:val="0"/>
        <w:bCs w:val="0"/>
        <w:i w:val="0"/>
        <w:iCs w:val="0"/>
        <w:caps w:val="0"/>
        <w:smallCaps w:val="0"/>
        <w:strike w:val="0"/>
        <w:dstrike w:val="0"/>
        <w:color w:val="000000"/>
        <w:spacing w:val="0"/>
        <w:w w:val="100"/>
        <w:sz w:val="23"/>
        <w:szCs w:val="23"/>
        <w:u w:val="none"/>
      </w:rPr>
    </w:lvl>
  </w:abstractNum>
  <w:abstractNum w:abstractNumId="19" w15:restartNumberingAfterBreak="0">
    <w:nsid w:val="758408F3"/>
    <w:multiLevelType w:val="multilevel"/>
    <w:tmpl w:val="E4AC5102"/>
    <w:lvl w:ilvl="0">
      <w:start w:val="1"/>
      <w:numFmt w:val="decimal"/>
      <w:lvlText w:val="%1."/>
      <w:lvlJc w:val="left"/>
      <w:pPr>
        <w:ind w:left="644" w:hanging="360"/>
      </w:pPr>
      <w:rPr>
        <w:rFonts w:ascii="Arial" w:eastAsia="Times New Roman" w:hAnsi="Arial" w:cs="Arial"/>
        <w:b w:val="0"/>
        <w:bCs/>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0" w15:restartNumberingAfterBreak="0">
    <w:nsid w:val="75A32E73"/>
    <w:multiLevelType w:val="multilevel"/>
    <w:tmpl w:val="7916E7A0"/>
    <w:styleLink w:val="WWNum16"/>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1" w15:restartNumberingAfterBreak="0">
    <w:nsid w:val="77A418DD"/>
    <w:multiLevelType w:val="multilevel"/>
    <w:tmpl w:val="3BF6BB88"/>
    <w:styleLink w:val="WWNum1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E374CAC"/>
    <w:multiLevelType w:val="multilevel"/>
    <w:tmpl w:val="6B2CFE8E"/>
    <w:styleLink w:val="WWNum18"/>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num w:numId="1" w16cid:durableId="944271925">
    <w:abstractNumId w:val="11"/>
  </w:num>
  <w:num w:numId="2" w16cid:durableId="1379285793">
    <w:abstractNumId w:val="3"/>
  </w:num>
  <w:num w:numId="3" w16cid:durableId="2055152930">
    <w:abstractNumId w:val="5"/>
  </w:num>
  <w:num w:numId="4" w16cid:durableId="331641880">
    <w:abstractNumId w:val="6"/>
  </w:num>
  <w:num w:numId="5" w16cid:durableId="1488399671">
    <w:abstractNumId w:val="2"/>
  </w:num>
  <w:num w:numId="6" w16cid:durableId="2011521208">
    <w:abstractNumId w:val="15"/>
  </w:num>
  <w:num w:numId="7" w16cid:durableId="844251152">
    <w:abstractNumId w:val="14"/>
  </w:num>
  <w:num w:numId="8" w16cid:durableId="2099713156">
    <w:abstractNumId w:val="18"/>
  </w:num>
  <w:num w:numId="9" w16cid:durableId="1682079207">
    <w:abstractNumId w:val="10"/>
  </w:num>
  <w:num w:numId="10" w16cid:durableId="2101103161">
    <w:abstractNumId w:val="17"/>
  </w:num>
  <w:num w:numId="11" w16cid:durableId="578640006">
    <w:abstractNumId w:val="9"/>
  </w:num>
  <w:num w:numId="12" w16cid:durableId="177819990">
    <w:abstractNumId w:val="12"/>
  </w:num>
  <w:num w:numId="13" w16cid:durableId="1561092041">
    <w:abstractNumId w:val="0"/>
  </w:num>
  <w:num w:numId="14" w16cid:durableId="1725980532">
    <w:abstractNumId w:val="21"/>
  </w:num>
  <w:num w:numId="15" w16cid:durableId="1962958032">
    <w:abstractNumId w:val="7"/>
  </w:num>
  <w:num w:numId="16" w16cid:durableId="649865614">
    <w:abstractNumId w:val="16"/>
  </w:num>
  <w:num w:numId="17" w16cid:durableId="1064064010">
    <w:abstractNumId w:val="20"/>
  </w:num>
  <w:num w:numId="18" w16cid:durableId="1261455027">
    <w:abstractNumId w:val="8"/>
  </w:num>
  <w:num w:numId="19" w16cid:durableId="442193685">
    <w:abstractNumId w:val="22"/>
  </w:num>
  <w:num w:numId="20" w16cid:durableId="81726676">
    <w:abstractNumId w:val="13"/>
  </w:num>
  <w:num w:numId="21" w16cid:durableId="667438832">
    <w:abstractNumId w:val="19"/>
  </w:num>
  <w:num w:numId="22" w16cid:durableId="395324693">
    <w:abstractNumId w:val="4"/>
  </w:num>
  <w:num w:numId="23" w16cid:durableId="318120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06C53"/>
    <w:rsid w:val="00006C53"/>
    <w:rsid w:val="002932E7"/>
    <w:rsid w:val="00971738"/>
    <w:rsid w:val="00D050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docId w15:val="{FC6D3797-EC69-F649-8EC4-3AEE7BD5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 w:val="22"/>
        <w:szCs w:val="22"/>
        <w:lang w:val="pl-PL" w:eastAsia="en-US" w:bidi="ar-SA"/>
      </w:rPr>
    </w:rPrDefault>
    <w:pPrDefault>
      <w:pPr>
        <w:autoSpaceDN w:val="0"/>
        <w:ind w:firstLine="72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spacing w:after="200" w:line="276" w:lineRule="auto"/>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0" w:line="240" w:lineRule="auto"/>
    </w:pPr>
    <w:rPr>
      <w:rFonts w:ascii="Times New Roman" w:eastAsia="Times New Roman" w:hAnsi="Times New Roman" w:cs="Times New Roman"/>
      <w:b/>
      <w:sz w:val="28"/>
      <w:szCs w:val="20"/>
      <w:lang w:eastAsia="pl-PL"/>
    </w:rPr>
  </w:style>
  <w:style w:type="paragraph" w:styleId="Lista">
    <w:name w:val="List"/>
    <w:basedOn w:val="Textbody"/>
    <w:rPr>
      <w:rFonts w:cs="Lucida Sans"/>
      <w:sz w:val="24"/>
    </w:rPr>
  </w:style>
  <w:style w:type="paragraph" w:styleId="Legend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styleId="Akapitzlist">
    <w:name w:val="List Paragraph"/>
    <w:basedOn w:val="Standard"/>
    <w:pPr>
      <w:ind w:left="720"/>
    </w:pPr>
  </w:style>
  <w:style w:type="paragraph" w:customStyle="1" w:styleId="Style2">
    <w:name w:val="Style 2"/>
    <w:basedOn w:val="Standard"/>
    <w:pPr>
      <w:widowControl w:val="0"/>
      <w:shd w:val="clear" w:color="auto" w:fill="FFFFFF"/>
      <w:spacing w:after="0" w:line="240" w:lineRule="atLeast"/>
    </w:pPr>
    <w:rPr>
      <w:sz w:val="13"/>
      <w:szCs w:val="13"/>
    </w:rPr>
  </w:style>
  <w:style w:type="paragraph" w:customStyle="1" w:styleId="Style10">
    <w:name w:val="Style 10"/>
    <w:basedOn w:val="Standard"/>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Standard"/>
    <w:pPr>
      <w:widowControl w:val="0"/>
      <w:shd w:val="clear" w:color="auto" w:fill="FFFFFF"/>
      <w:spacing w:before="360" w:after="0" w:line="168" w:lineRule="exact"/>
      <w:ind w:hanging="180"/>
      <w:jc w:val="center"/>
    </w:pPr>
    <w:rPr>
      <w:b/>
      <w:bCs/>
      <w:sz w:val="14"/>
      <w:szCs w:val="14"/>
    </w:rPr>
  </w:style>
  <w:style w:type="paragraph" w:styleId="Tekstdymka">
    <w:name w:val="Balloon Text"/>
    <w:basedOn w:val="Standard"/>
    <w:pPr>
      <w:spacing w:after="0" w:line="240" w:lineRule="auto"/>
    </w:pPr>
    <w:rPr>
      <w:rFonts w:ascii="Tahoma" w:eastAsia="Tahoma" w:hAnsi="Tahoma"/>
      <w:sz w:val="16"/>
      <w:szCs w:val="16"/>
    </w:rPr>
  </w:style>
  <w:style w:type="paragraph" w:styleId="NormalnyWeb">
    <w:name w:val="Normal (Web)"/>
    <w:basedOn w:val="Standard"/>
    <w:pPr>
      <w:spacing w:before="280" w:after="280" w:line="240" w:lineRule="auto"/>
    </w:pPr>
    <w:rPr>
      <w:rFonts w:ascii="Times New Roman" w:eastAsia="Times New Roman" w:hAnsi="Times New Roman" w:cs="Times New Roman"/>
      <w:sz w:val="24"/>
      <w:szCs w:val="24"/>
      <w:lang w:eastAsia="pl-PL"/>
    </w:rPr>
  </w:style>
  <w:style w:type="paragraph" w:customStyle="1" w:styleId="Style43">
    <w:name w:val="Style 43"/>
    <w:basedOn w:val="Standard"/>
    <w:pPr>
      <w:widowControl w:val="0"/>
      <w:shd w:val="clear" w:color="auto" w:fill="FFFFFF"/>
      <w:spacing w:after="2100" w:line="206" w:lineRule="exact"/>
      <w:jc w:val="both"/>
    </w:pPr>
    <w:rPr>
      <w:rFonts w:ascii="Courier New" w:eastAsia="Courier New" w:hAnsi="Courier New" w:cs="Courier New"/>
      <w:i/>
      <w:iCs/>
      <w:sz w:val="18"/>
      <w:szCs w:val="18"/>
    </w:rPr>
  </w:style>
  <w:style w:type="paragraph" w:styleId="Nagwek">
    <w:name w:val="header"/>
    <w:basedOn w:val="Standard"/>
    <w:pPr>
      <w:tabs>
        <w:tab w:val="center" w:pos="4536"/>
        <w:tab w:val="right" w:pos="9072"/>
      </w:tabs>
      <w:spacing w:after="0" w:line="240" w:lineRule="auto"/>
    </w:pPr>
  </w:style>
  <w:style w:type="paragraph" w:styleId="Stopka">
    <w:name w:val="footer"/>
    <w:basedOn w:val="Standard"/>
    <w:pPr>
      <w:tabs>
        <w:tab w:val="center" w:pos="4536"/>
        <w:tab w:val="right" w:pos="9072"/>
      </w:tabs>
      <w:spacing w:after="0" w:line="240" w:lineRule="auto"/>
    </w:pPr>
  </w:style>
  <w:style w:type="paragraph" w:styleId="Tekstpodstawowy2">
    <w:name w:val="Body Text 2"/>
    <w:basedOn w:val="Standard"/>
    <w:pPr>
      <w:spacing w:after="120" w:line="480" w:lineRule="auto"/>
    </w:pPr>
    <w:rPr>
      <w:rFonts w:ascii="Times New Roman" w:eastAsia="Times New Roman" w:hAnsi="Times New Roman" w:cs="Times New Roman"/>
      <w:sz w:val="24"/>
      <w:szCs w:val="20"/>
      <w:lang w:eastAsia="pl-PL"/>
    </w:rPr>
  </w:style>
  <w:style w:type="paragraph" w:customStyle="1" w:styleId="Default">
    <w:name w:val="Default"/>
    <w:pPr>
      <w:suppressAutoHyphens/>
    </w:pPr>
    <w:rPr>
      <w:rFonts w:ascii="Times New Roman" w:eastAsia="Times New Roman" w:hAnsi="Times New Roman" w:cs="Times New Roman"/>
      <w:color w:val="000000"/>
      <w:sz w:val="24"/>
      <w:szCs w:val="24"/>
    </w:rPr>
  </w:style>
  <w:style w:type="paragraph" w:customStyle="1" w:styleId="Endnote">
    <w:name w:val="Endnote"/>
    <w:basedOn w:val="Standard"/>
    <w:pPr>
      <w:spacing w:after="0" w:line="240" w:lineRule="auto"/>
    </w:pPr>
    <w:rPr>
      <w:sz w:val="20"/>
      <w:szCs w:val="20"/>
    </w:rPr>
  </w:style>
  <w:style w:type="paragraph" w:customStyle="1" w:styleId="Standarduser">
    <w:name w:val="Standard (user)"/>
    <w:pPr>
      <w:suppressAutoHyphens/>
      <w:spacing w:after="200" w:line="276" w:lineRule="auto"/>
    </w:pPr>
    <w:rPr>
      <w:rFonts w:cs="Times New Roman"/>
      <w:kern w:val="3"/>
    </w:rPr>
  </w:style>
  <w:style w:type="character" w:customStyle="1" w:styleId="CharStyle3Exact">
    <w:name w:val="Char Style 3 Exact"/>
    <w:basedOn w:val="Domylnaczcionkaakapitu"/>
    <w:rPr>
      <w:sz w:val="13"/>
      <w:szCs w:val="13"/>
      <w:shd w:val="clear" w:color="auto" w:fill="FFFFFF"/>
    </w:rPr>
  </w:style>
  <w:style w:type="character" w:customStyle="1" w:styleId="CharStyle11">
    <w:name w:val="Char Style 11"/>
    <w:basedOn w:val="Domylnaczcionkaakapitu"/>
    <w:rPr>
      <w:sz w:val="14"/>
      <w:szCs w:val="14"/>
      <w:shd w:val="clear" w:color="auto" w:fill="FFFFFF"/>
    </w:rPr>
  </w:style>
  <w:style w:type="character" w:customStyle="1" w:styleId="CharStyle13">
    <w:name w:val="Char Style 13"/>
    <w:basedOn w:val="Domylnaczcionkaakapitu"/>
    <w:rPr>
      <w:sz w:val="14"/>
      <w:szCs w:val="14"/>
      <w:shd w:val="clear" w:color="auto" w:fill="FFFFFF"/>
    </w:rPr>
  </w:style>
  <w:style w:type="character" w:customStyle="1" w:styleId="CharStyle14">
    <w:name w:val="Char Style 14"/>
    <w:basedOn w:val="CharStyle13"/>
    <w:rPr>
      <w:spacing w:val="40"/>
      <w:sz w:val="14"/>
      <w:szCs w:val="14"/>
      <w:shd w:val="clear" w:color="auto" w:fill="FFFFFF"/>
    </w:rPr>
  </w:style>
  <w:style w:type="character" w:customStyle="1" w:styleId="TekstdymkaZnak">
    <w:name w:val="Tekst dymka Znak"/>
    <w:basedOn w:val="Domylnaczcionkaakapitu"/>
    <w:rPr>
      <w:rFonts w:ascii="Tahoma" w:eastAsia="Tahoma" w:hAnsi="Tahoma" w:cs="Tahoma"/>
      <w:sz w:val="16"/>
      <w:szCs w:val="16"/>
    </w:rPr>
  </w:style>
  <w:style w:type="character" w:styleId="Pogrubienie">
    <w:name w:val="Strong"/>
    <w:basedOn w:val="Domylnaczcionkaakapitu"/>
    <w:rPr>
      <w:b/>
      <w:bCs/>
    </w:rPr>
  </w:style>
  <w:style w:type="character" w:customStyle="1" w:styleId="CharStyle44">
    <w:name w:val="Char Style 44"/>
    <w:basedOn w:val="Domylnaczcionkaakapitu"/>
    <w:rPr>
      <w:rFonts w:ascii="Courier New" w:eastAsia="Courier New" w:hAnsi="Courier New" w:cs="Courier New"/>
      <w:i/>
      <w:iCs/>
      <w:sz w:val="18"/>
      <w:szCs w:val="18"/>
      <w:shd w:val="clear" w:color="auto" w:fill="FFFFFF"/>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TekstpodstawowyZnak">
    <w:name w:val="Tekst podstawowy Znak"/>
    <w:basedOn w:val="Domylnaczcionkaakapitu"/>
    <w:rPr>
      <w:rFonts w:ascii="Times New Roman" w:eastAsia="Times New Roman" w:hAnsi="Times New Roman" w:cs="Times New Roman"/>
      <w:b/>
      <w:sz w:val="28"/>
      <w:szCs w:val="20"/>
      <w:lang w:eastAsia="pl-PL"/>
    </w:rPr>
  </w:style>
  <w:style w:type="character" w:customStyle="1" w:styleId="Tekstpodstawowy2Znak">
    <w:name w:val="Tekst podstawowy 2 Znak"/>
    <w:basedOn w:val="Domylnaczcionkaakapitu"/>
    <w:rPr>
      <w:rFonts w:ascii="Times New Roman" w:eastAsia="Times New Roman" w:hAnsi="Times New Roman" w:cs="Times New Roman"/>
      <w:sz w:val="24"/>
      <w:szCs w:val="20"/>
      <w:lang w:eastAsia="pl-PL"/>
    </w:rPr>
  </w:style>
  <w:style w:type="character" w:customStyle="1" w:styleId="CharStyle3">
    <w:name w:val="Char Style 3"/>
    <w:basedOn w:val="Domylnaczcionkaakapitu"/>
    <w:rPr>
      <w:sz w:val="23"/>
      <w:szCs w:val="23"/>
      <w:u w:val="none"/>
    </w:rPr>
  </w:style>
  <w:style w:type="character" w:customStyle="1" w:styleId="alb">
    <w:name w:val="a_lb"/>
    <w:basedOn w:val="Domylnaczcionkaakapitu"/>
  </w:style>
  <w:style w:type="character" w:customStyle="1" w:styleId="Internetlink">
    <w:name w:val="Internet link"/>
    <w:basedOn w:val="Domylnaczcionkaakapitu"/>
    <w:rPr>
      <w:color w:val="0000FF"/>
      <w:u w:val="single"/>
    </w:rPr>
  </w:style>
  <w:style w:type="character" w:customStyle="1" w:styleId="TekstprzypisukocowegoZnak">
    <w:name w:val="Tekst przypisu końcowego Znak"/>
    <w:basedOn w:val="Domylnaczcionkaakapitu"/>
    <w:rPr>
      <w:sz w:val="20"/>
      <w:szCs w:val="20"/>
    </w:rPr>
  </w:style>
  <w:style w:type="character" w:customStyle="1" w:styleId="Endnoteanchor">
    <w:name w:val="Endnote anchor"/>
    <w:rPr>
      <w:position w:val="0"/>
      <w:vertAlign w:val="superscript"/>
    </w:rPr>
  </w:style>
  <w:style w:type="character" w:customStyle="1" w:styleId="EndnoteCharacters">
    <w:name w:val="Endnote Characters"/>
    <w:basedOn w:val="Domylnaczcionkaakapitu"/>
    <w:rPr>
      <w:position w:val="0"/>
      <w:vertAlign w:val="superscript"/>
    </w:rPr>
  </w:style>
  <w:style w:type="character" w:customStyle="1" w:styleId="ListLabel1">
    <w:name w:val="ListLabel 1"/>
    <w:rPr>
      <w:rFonts w:ascii="Arial" w:eastAsia="Arial" w:hAnsi="Arial" w:cs="Arial"/>
      <w:b/>
      <w:sz w:val="18"/>
      <w:szCs w:val="18"/>
    </w:rPr>
  </w:style>
  <w:style w:type="character" w:customStyle="1" w:styleId="ListLabel2">
    <w:name w:val="ListLabel 2"/>
    <w:rPr>
      <w:b w:val="0"/>
      <w:sz w:val="22"/>
      <w:szCs w:val="22"/>
    </w:rPr>
  </w:style>
  <w:style w:type="character" w:customStyle="1" w:styleId="ListLabel3">
    <w:name w:val="ListLabel 3"/>
    <w:rPr>
      <w:b w:val="0"/>
      <w:bCs w:val="0"/>
      <w:i w:val="0"/>
      <w:iCs w:val="0"/>
      <w:caps w:val="0"/>
      <w:smallCaps w:val="0"/>
      <w:strike w:val="0"/>
      <w:dstrike w:val="0"/>
      <w:color w:val="000000"/>
      <w:spacing w:val="0"/>
      <w:w w:val="100"/>
      <w:sz w:val="23"/>
      <w:szCs w:val="23"/>
      <w:u w:val="none"/>
    </w:rPr>
  </w:style>
  <w:style w:type="character" w:customStyle="1" w:styleId="ListLabel4">
    <w:name w:val="ListLabel 4"/>
    <w:rPr>
      <w:b w:val="0"/>
      <w:bCs w:val="0"/>
      <w:i w:val="0"/>
      <w:iCs w:val="0"/>
      <w:caps w:val="0"/>
      <w:smallCaps w:val="0"/>
      <w:strike w:val="0"/>
      <w:dstrike w:val="0"/>
      <w:color w:val="000000"/>
      <w:spacing w:val="0"/>
      <w:w w:val="100"/>
      <w:sz w:val="23"/>
      <w:szCs w:val="23"/>
      <w:u w:val="none"/>
    </w:rPr>
  </w:style>
  <w:style w:type="character" w:customStyle="1" w:styleId="ListLabel5">
    <w:name w:val="ListLabel 5"/>
    <w:rPr>
      <w:b w:val="0"/>
      <w:bCs w:val="0"/>
      <w:i w:val="0"/>
      <w:iCs w:val="0"/>
      <w:caps w:val="0"/>
      <w:smallCaps w:val="0"/>
      <w:strike w:val="0"/>
      <w:dstrike w:val="0"/>
      <w:color w:val="000000"/>
      <w:spacing w:val="0"/>
      <w:w w:val="100"/>
      <w:sz w:val="23"/>
      <w:szCs w:val="23"/>
      <w:u w:val="none"/>
    </w:rPr>
  </w:style>
  <w:style w:type="character" w:customStyle="1" w:styleId="ListLabel6">
    <w:name w:val="ListLabel 6"/>
    <w:rPr>
      <w:b w:val="0"/>
      <w:bCs w:val="0"/>
      <w:i w:val="0"/>
      <w:iCs w:val="0"/>
      <w:caps w:val="0"/>
      <w:smallCaps w:val="0"/>
      <w:strike w:val="0"/>
      <w:dstrike w:val="0"/>
      <w:color w:val="000000"/>
      <w:spacing w:val="0"/>
      <w:w w:val="100"/>
      <w:sz w:val="23"/>
      <w:szCs w:val="23"/>
      <w:u w:val="none"/>
    </w:rPr>
  </w:style>
  <w:style w:type="character" w:customStyle="1" w:styleId="ListLabel7">
    <w:name w:val="ListLabel 7"/>
    <w:rPr>
      <w:b w:val="0"/>
      <w:bCs w:val="0"/>
      <w:i w:val="0"/>
      <w:iCs w:val="0"/>
      <w:caps w:val="0"/>
      <w:smallCaps w:val="0"/>
      <w:strike w:val="0"/>
      <w:dstrike w:val="0"/>
      <w:color w:val="000000"/>
      <w:spacing w:val="0"/>
      <w:w w:val="100"/>
      <w:sz w:val="23"/>
      <w:szCs w:val="23"/>
      <w:u w:val="none"/>
    </w:rPr>
  </w:style>
  <w:style w:type="character" w:customStyle="1" w:styleId="ListLabel8">
    <w:name w:val="ListLabel 8"/>
    <w:rPr>
      <w:b w:val="0"/>
      <w:bCs w:val="0"/>
      <w:i w:val="0"/>
      <w:iCs w:val="0"/>
      <w:caps w:val="0"/>
      <w:smallCaps w:val="0"/>
      <w:strike w:val="0"/>
      <w:dstrike w:val="0"/>
      <w:color w:val="000000"/>
      <w:spacing w:val="0"/>
      <w:w w:val="100"/>
      <w:sz w:val="23"/>
      <w:szCs w:val="23"/>
      <w:u w:val="none"/>
    </w:rPr>
  </w:style>
  <w:style w:type="character" w:customStyle="1" w:styleId="ListLabel9">
    <w:name w:val="ListLabel 9"/>
    <w:rPr>
      <w:b w:val="0"/>
      <w:bCs w:val="0"/>
      <w:i w:val="0"/>
      <w:iCs w:val="0"/>
      <w:caps w:val="0"/>
      <w:smallCaps w:val="0"/>
      <w:strike w:val="0"/>
      <w:dstrike w:val="0"/>
      <w:color w:val="000000"/>
      <w:spacing w:val="0"/>
      <w:w w:val="100"/>
      <w:sz w:val="23"/>
      <w:szCs w:val="23"/>
      <w:u w:val="none"/>
    </w:rPr>
  </w:style>
  <w:style w:type="character" w:customStyle="1" w:styleId="ListLabel10">
    <w:name w:val="ListLabel 10"/>
    <w:rPr>
      <w:b w:val="0"/>
      <w:bCs w:val="0"/>
      <w:i w:val="0"/>
      <w:iCs w:val="0"/>
      <w:caps w:val="0"/>
      <w:smallCaps w:val="0"/>
      <w:strike w:val="0"/>
      <w:dstrike w:val="0"/>
      <w:color w:val="000000"/>
      <w:spacing w:val="0"/>
      <w:w w:val="100"/>
      <w:sz w:val="23"/>
      <w:szCs w:val="23"/>
      <w:u w:val="none"/>
    </w:rPr>
  </w:style>
  <w:style w:type="character" w:customStyle="1" w:styleId="ListLabel11">
    <w:name w:val="ListLabel 11"/>
    <w:rPr>
      <w:b w:val="0"/>
      <w:bCs w:val="0"/>
      <w:i w:val="0"/>
      <w:iCs w:val="0"/>
      <w:caps w:val="0"/>
      <w:smallCaps w:val="0"/>
      <w:strike w:val="0"/>
      <w:dstrike w:val="0"/>
      <w:color w:val="000000"/>
      <w:spacing w:val="0"/>
      <w:w w:val="100"/>
      <w:sz w:val="23"/>
      <w:szCs w:val="23"/>
      <w:u w:val="none"/>
    </w:rPr>
  </w:style>
  <w:style w:type="character" w:customStyle="1" w:styleId="ListLabel12">
    <w:name w:val="ListLabel 12"/>
    <w:rPr>
      <w:rFonts w:ascii="Arial" w:eastAsia="Arial" w:hAnsi="Arial" w:cs="Arial"/>
      <w:b/>
      <w:bCs/>
      <w:color w:val="auto"/>
      <w:sz w:val="22"/>
    </w:rPr>
  </w:style>
  <w:style w:type="character" w:customStyle="1" w:styleId="ListLabel13">
    <w:name w:val="ListLabel 13"/>
    <w:rPr>
      <w:b w:val="0"/>
      <w:bCs/>
      <w:color w:val="auto"/>
    </w:rPr>
  </w:style>
  <w:style w:type="character" w:customStyle="1" w:styleId="ListLabel14">
    <w:name w:val="ListLabel 14"/>
    <w:rPr>
      <w:rFonts w:ascii="Arial" w:eastAsia="Arial" w:hAnsi="Arial" w:cs="Arial"/>
      <w:b/>
      <w:bCs/>
      <w:color w:val="auto"/>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NumberingSymbols">
    <w:name w:val="Numbering Symbols"/>
  </w:style>
  <w:style w:type="numbering" w:customStyle="1" w:styleId="NoList">
    <w:name w:val="No List"/>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 w:type="numbering" w:customStyle="1" w:styleId="WWNum7">
    <w:name w:val="WWNum7"/>
    <w:basedOn w:val="Bezlisty"/>
    <w:pPr>
      <w:numPr>
        <w:numId w:val="8"/>
      </w:numPr>
    </w:pPr>
  </w:style>
  <w:style w:type="numbering" w:customStyle="1" w:styleId="WWNum8">
    <w:name w:val="WWNum8"/>
    <w:basedOn w:val="Bezlisty"/>
    <w:pPr>
      <w:numPr>
        <w:numId w:val="9"/>
      </w:numPr>
    </w:pPr>
  </w:style>
  <w:style w:type="numbering" w:customStyle="1" w:styleId="WWNum9">
    <w:name w:val="WWNum9"/>
    <w:basedOn w:val="Bezlisty"/>
    <w:pPr>
      <w:numPr>
        <w:numId w:val="10"/>
      </w:numPr>
    </w:pPr>
  </w:style>
  <w:style w:type="numbering" w:customStyle="1" w:styleId="WWNum10">
    <w:name w:val="WWNum10"/>
    <w:basedOn w:val="Bezlisty"/>
    <w:pPr>
      <w:numPr>
        <w:numId w:val="11"/>
      </w:numPr>
    </w:pPr>
  </w:style>
  <w:style w:type="numbering" w:customStyle="1" w:styleId="WWNum11">
    <w:name w:val="WWNum11"/>
    <w:basedOn w:val="Bezlisty"/>
    <w:pPr>
      <w:numPr>
        <w:numId w:val="12"/>
      </w:numPr>
    </w:pPr>
  </w:style>
  <w:style w:type="numbering" w:customStyle="1" w:styleId="WWNum12">
    <w:name w:val="WWNum12"/>
    <w:basedOn w:val="Bezlisty"/>
    <w:pPr>
      <w:numPr>
        <w:numId w:val="13"/>
      </w:numPr>
    </w:pPr>
  </w:style>
  <w:style w:type="numbering" w:customStyle="1" w:styleId="WWNum13">
    <w:name w:val="WWNum13"/>
    <w:basedOn w:val="Bezlisty"/>
    <w:pPr>
      <w:numPr>
        <w:numId w:val="14"/>
      </w:numPr>
    </w:pPr>
  </w:style>
  <w:style w:type="numbering" w:customStyle="1" w:styleId="WWNum14">
    <w:name w:val="WWNum14"/>
    <w:basedOn w:val="Bezlisty"/>
    <w:pPr>
      <w:numPr>
        <w:numId w:val="15"/>
      </w:numPr>
    </w:pPr>
  </w:style>
  <w:style w:type="numbering" w:customStyle="1" w:styleId="WWNum15">
    <w:name w:val="WWNum15"/>
    <w:basedOn w:val="Bezlisty"/>
    <w:pPr>
      <w:numPr>
        <w:numId w:val="16"/>
      </w:numPr>
    </w:pPr>
  </w:style>
  <w:style w:type="numbering" w:customStyle="1" w:styleId="WWNum16">
    <w:name w:val="WWNum16"/>
    <w:basedOn w:val="Bezlisty"/>
    <w:pPr>
      <w:numPr>
        <w:numId w:val="17"/>
      </w:numPr>
    </w:pPr>
  </w:style>
  <w:style w:type="numbering" w:customStyle="1" w:styleId="WWNum17">
    <w:name w:val="WWNum17"/>
    <w:basedOn w:val="Bezlisty"/>
    <w:pPr>
      <w:numPr>
        <w:numId w:val="18"/>
      </w:numPr>
    </w:pPr>
  </w:style>
  <w:style w:type="numbering" w:customStyle="1" w:styleId="WWNum18">
    <w:name w:val="WWNum18"/>
    <w:basedOn w:val="Bezlisty"/>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4019</Words>
  <Characters>26986</Characters>
  <Application>Microsoft Office Word</Application>
  <DocSecurity>0</DocSecurity>
  <Lines>420</Lines>
  <Paragraphs>115</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30921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Krzysztof Szypulski</cp:lastModifiedBy>
  <cp:revision>3</cp:revision>
  <cp:lastPrinted>2025-09-29T12:33:00Z</cp:lastPrinted>
  <dcterms:created xsi:type="dcterms:W3CDTF">2025-10-01T12:35:00Z</dcterms:created>
  <dcterms:modified xsi:type="dcterms:W3CDTF">2025-10-01T12:36:00Z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