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C1D51" w14:textId="77777777" w:rsidR="001A43B2" w:rsidRDefault="00000000">
      <w:pPr>
        <w:pStyle w:val="Standarduser"/>
        <w:ind w:left="6240"/>
      </w:pPr>
      <w:r>
        <w:rPr>
          <w:rFonts w:ascii="Arial" w:hAnsi="Arial" w:cs="Times New Roman"/>
          <w:sz w:val="18"/>
          <w:szCs w:val="18"/>
        </w:rPr>
        <w:t>Załącznik nr 1 do decyzji znak: PA.IV.6220.12.2019.24 z dnia 12 maja 2023 r. o środowiskowych uwarunkowaniach na realizację przedsięwzięcia</w:t>
      </w:r>
    </w:p>
    <w:p w14:paraId="395D6CDD" w14:textId="77777777" w:rsidR="001A43B2" w:rsidRDefault="00000000">
      <w:pPr>
        <w:pStyle w:val="Standarduser"/>
        <w:spacing w:before="600"/>
        <w:jc w:val="center"/>
      </w:pPr>
      <w:r>
        <w:rPr>
          <w:rFonts w:ascii="Arial" w:hAnsi="Arial" w:cs="Times New Roman"/>
          <w:b/>
          <w:u w:val="single"/>
        </w:rPr>
        <w:t>CHARAKTERYSTYKA PRZEDSIĘWZIĘCIA</w:t>
      </w:r>
    </w:p>
    <w:p w14:paraId="50263C37" w14:textId="77777777" w:rsidR="001A43B2" w:rsidRDefault="00000000">
      <w:pPr>
        <w:pStyle w:val="Standarduser"/>
        <w:spacing w:after="0"/>
      </w:pPr>
      <w:r>
        <w:rPr>
          <w:rFonts w:ascii="Arial" w:hAnsi="Arial" w:cs="Times New Roman"/>
        </w:rPr>
        <w:t xml:space="preserve">pn.: </w:t>
      </w:r>
      <w:r>
        <w:rPr>
          <w:rFonts w:ascii="Arial" w:hAnsi="Arial" w:cs="Times New Roman"/>
          <w:b/>
          <w:bCs/>
        </w:rPr>
        <w:t>„</w:t>
      </w:r>
      <w:r>
        <w:rPr>
          <w:rFonts w:ascii="Arial" w:hAnsi="Arial" w:cs="Arial"/>
          <w:b/>
          <w:bCs/>
        </w:rPr>
        <w:t>Instalacja paneli fotowoltaicznych oraz infrastruktury technicznej powiązanej z farmą fotowoltaiczną o mocy do 4,0 MW na działce nr 122/5 obręb Gołogóra, gm. Polanów”</w:t>
      </w:r>
    </w:p>
    <w:p w14:paraId="65E0F354" w14:textId="77777777" w:rsidR="001A43B2" w:rsidRDefault="00000000">
      <w:pPr>
        <w:pStyle w:val="Standarduser"/>
        <w:spacing w:before="240"/>
      </w:pPr>
      <w:r>
        <w:rPr>
          <w:rFonts w:ascii="Arial" w:hAnsi="Arial" w:cs="Times New Roman"/>
          <w:b/>
        </w:rPr>
        <w:t>1. Rodzaj, cechy, skala i usytuowanie przedsięwzięcia</w:t>
      </w:r>
      <w:r>
        <w:rPr>
          <w:rFonts w:ascii="Times New Roman" w:hAnsi="Times New Roman" w:cs="Times New Roman"/>
          <w:b/>
        </w:rPr>
        <w:t>.</w:t>
      </w:r>
    </w:p>
    <w:p w14:paraId="01E3C632" w14:textId="77777777" w:rsidR="001A43B2" w:rsidRDefault="00000000">
      <w:pPr>
        <w:pStyle w:val="Standarduser"/>
        <w:spacing w:before="240"/>
        <w:ind w:firstLine="708"/>
        <w:rPr>
          <w:rFonts w:ascii="Arial" w:hAnsi="Arial" w:cs="Arial"/>
        </w:rPr>
      </w:pPr>
      <w:r>
        <w:rPr>
          <w:rFonts w:ascii="Arial" w:hAnsi="Arial" w:cs="Arial"/>
        </w:rPr>
        <w:t xml:space="preserve">W ramach przedmiotowego przedsięwzięcia przewiduje się budowę instalacji fotowoltaicznej o mocy do 4 MW wraz z niezbędną infrastrukturą techniczną, na którą składa się m.in.: konstrukcja i elementy montażowe, panele fotowoltaiczne, inwertery DC/AC, okablowanie, dwie kontenerowe rozdzielnice </w:t>
      </w:r>
      <w:proofErr w:type="spellStart"/>
      <w:r>
        <w:rPr>
          <w:rFonts w:ascii="Arial" w:hAnsi="Arial" w:cs="Arial"/>
        </w:rPr>
        <w:t>nn</w:t>
      </w:r>
      <w:proofErr w:type="spellEnd"/>
      <w:r>
        <w:rPr>
          <w:rFonts w:ascii="Arial" w:hAnsi="Arial" w:cs="Arial"/>
        </w:rPr>
        <w:t>/SN, układy pomiarowo-zabezpieczające, przyłącze do sieci elektroenergetycznej, ogrodzenie, droga dojazdowa i wewnętrzna, system monitoringu. Inwestor planuje przyłączyć przedmiotową farmę fotowoltaiczną do sieci lokalnego operatora energetycznego. Dokładna lokalizacja i sposób wykonania przyłączenia do sieci ustalony zostanie przez operatora sieci elektroenergetycznej na etapie uzyskiwania warunków przyłączenia.</w:t>
      </w:r>
    </w:p>
    <w:p w14:paraId="1A371620" w14:textId="77777777" w:rsidR="001A43B2" w:rsidRDefault="00000000">
      <w:pPr>
        <w:pStyle w:val="Standarduser"/>
        <w:spacing w:before="240"/>
      </w:pPr>
      <w:r>
        <w:rPr>
          <w:rFonts w:ascii="Arial" w:eastAsia="Times New Roman" w:hAnsi="Arial" w:cs="Times New Roman"/>
          <w:b/>
          <w:lang w:eastAsia="pl-PL"/>
        </w:rPr>
        <w:t>2. Powierzchnia zajmowanej nieruchomości, dotychczasowy sposób wykorzystania i pokrycia szatą roślinną</w:t>
      </w:r>
      <w:r>
        <w:rPr>
          <w:rFonts w:ascii="Times New Roman" w:eastAsia="Times New Roman" w:hAnsi="Times New Roman" w:cs="Times New Roman"/>
          <w:b/>
          <w:szCs w:val="24"/>
          <w:lang w:eastAsia="pl-PL"/>
        </w:rPr>
        <w:t>.</w:t>
      </w:r>
    </w:p>
    <w:p w14:paraId="4E5898AD" w14:textId="77777777" w:rsidR="001A43B2" w:rsidRDefault="00000000">
      <w:pPr>
        <w:pStyle w:val="Standard"/>
        <w:spacing w:after="0"/>
        <w:ind w:firstLine="720"/>
      </w:pPr>
      <w:r>
        <w:rPr>
          <w:rFonts w:ascii="Arial" w:hAnsi="Arial" w:cs="Arial"/>
        </w:rPr>
        <w:t>Instalacja fotowoltaiczna zostanie usytuowana na działce nr 122/5 obręb Gołogóra, o powierzchni 7,21 ha. Przewiduje się, że łączna powierzchnia terenu pod zabudowę projektowanej instalacji oraz terenu przeznaczonego do przekształcenia w ramach realizacji przedmiotowej inwestycji wyniesie maksymalnie do 5,0 ha. Analizowaną działkę stanowią grunty orne (</w:t>
      </w:r>
      <w:proofErr w:type="spellStart"/>
      <w:r>
        <w:rPr>
          <w:rFonts w:ascii="Arial" w:hAnsi="Arial" w:cs="Arial"/>
        </w:rPr>
        <w:t>RIVa</w:t>
      </w:r>
      <w:proofErr w:type="spellEnd"/>
      <w:r>
        <w:rPr>
          <w:rFonts w:ascii="Arial" w:hAnsi="Arial" w:cs="Arial"/>
        </w:rPr>
        <w:t xml:space="preserve"> i </w:t>
      </w:r>
      <w:proofErr w:type="spellStart"/>
      <w:r>
        <w:rPr>
          <w:rFonts w:ascii="Arial" w:hAnsi="Arial" w:cs="Arial"/>
        </w:rPr>
        <w:t>RIVb</w:t>
      </w:r>
      <w:proofErr w:type="spellEnd"/>
      <w:r>
        <w:rPr>
          <w:rFonts w:ascii="Arial" w:hAnsi="Arial" w:cs="Arial"/>
        </w:rPr>
        <w:t>), które w trzech lokalizacjach porastają pojedyncze zadrzewienia lub ich skupiska. Tereny porośnięte drzewami zostały wyłączone spod lokalizacji przedmiotowego przedsięwzięcia, co zostało uwzględnione w warunkach realizacji przedsięwzięcia. Teren ww. nieruchomości obecnie stanowi grunty użytkowane głównie jako łąki kośne, które poddawane są zabiegom agrotechnicznym (2 - krotnemu koszeniu w ciągu roku).</w:t>
      </w:r>
    </w:p>
    <w:p w14:paraId="37E60787" w14:textId="77777777" w:rsidR="001A43B2" w:rsidRDefault="00000000">
      <w:pPr>
        <w:pStyle w:val="Standarduser"/>
        <w:spacing w:before="360"/>
      </w:pPr>
      <w:r>
        <w:rPr>
          <w:rFonts w:ascii="Arial" w:eastAsia="Times New Roman" w:hAnsi="Arial" w:cs="Arial"/>
          <w:b/>
          <w:lang w:eastAsia="pl-PL"/>
        </w:rPr>
        <w:t>3. Rozwiązania chroniące środowisko.</w:t>
      </w:r>
    </w:p>
    <w:p w14:paraId="0EBBA85A" w14:textId="77777777" w:rsidR="001A43B2" w:rsidRDefault="00000000">
      <w:pPr>
        <w:pStyle w:val="Standarduser"/>
        <w:tabs>
          <w:tab w:val="left" w:pos="709"/>
          <w:tab w:val="center" w:pos="7371"/>
        </w:tabs>
        <w:spacing w:before="360"/>
        <w:rPr>
          <w:rFonts w:ascii="Arial" w:hAnsi="Arial" w:cs="Arial"/>
        </w:rPr>
      </w:pPr>
      <w:r>
        <w:rPr>
          <w:rFonts w:ascii="Arial" w:hAnsi="Arial" w:cs="Arial"/>
        </w:rPr>
        <w:tab/>
        <w:t>Etap realizacji inwestycji związany będzie z typową emisją akustyczną i emisją zanieczyszczeń do powietrza charakterystyczną dla prac budowlanych, wynikającą z transportu materiałów oraz pracy urządzeń i maszyn (wiertarki, koparka, dźwig, ubijarka, kafar itd.). Największe uciążliwości powodowane będą pracami ziemnymi realizowanymi z wykorzystaniem cięższego sprzętu, których natężenie będzie zmienne i związane z miejscem ich wykonywania. Prace wykonawcze związane z realizacją przedsięwzięcia będą prowadzone wyłącznie w porze dziennej, tj. w godzinach 6.00-22.00. Uwzględniając powyższe i mając na względzie specyfikę prac budowlano-montażowych uznano, że emisje wystąpią lokalnie, będą miały charakter przejściowy oraz ustąpią po zakończeniu prac realizacyjnych.</w:t>
      </w:r>
    </w:p>
    <w:p w14:paraId="50364429" w14:textId="77777777" w:rsidR="001A43B2" w:rsidRDefault="00000000">
      <w:pPr>
        <w:pStyle w:val="Standard"/>
        <w:tabs>
          <w:tab w:val="left" w:pos="851"/>
        </w:tabs>
        <w:spacing w:after="0"/>
        <w:ind w:firstLine="720"/>
      </w:pPr>
      <w:r>
        <w:rPr>
          <w:rFonts w:ascii="Arial" w:hAnsi="Arial" w:cs="Arial"/>
        </w:rPr>
        <w:lastRenderedPageBreak/>
        <w:tab/>
        <w:t>Podczas fazy budowy instalacji będą produkowane niewielkie ilości ścieków socjalno-bytowych, w związku z czym planuje się zastosowanie kontenerów sanitarnych, które zostaną przetransportowane na teren inwestycji. Teren przedsięwzięcia na etapie prac budowlanych zostanie zaopatrzony w środki do neutralizacji przypadkowo rozlanych substancji ropopochodnych. W przypadku ich niekontrolowanego wycieku, zanieczyszczenie zostanie niezwłocznie usunięte za pomocą środków do neutralizacji, a zebrany materiał przekazany do utylizacji uprawnionemu odbiorcy. Tankowanie oraz naprawy sprzętu będą wykonywane poza terenem inwestycji. Realizacja przedsięwzięcia będzie wiązała się z wytwarzaniem odpadów powstających podczas prac budowlano-montażowych. Odpady te będą selektywnie zbierane i gromadzone w zamkniętych pojemnikach lub kontenerach usytuowanych na szczelnym podłożu, w wyznaczonych miejscach na terenie przedsięwzięcia. Po zgromadzeniu odpowiedniej ilości lub po zakończeniu prac budowlano-montażowych, odpady zostaną przekazane firmom posiadającym stosowne uprawnienia w zakresie gospodarki odpadami.</w:t>
      </w:r>
    </w:p>
    <w:p w14:paraId="4CE1ACF7" w14:textId="77777777" w:rsidR="001A43B2" w:rsidRDefault="00000000">
      <w:pPr>
        <w:pStyle w:val="Standard"/>
        <w:spacing w:after="0"/>
      </w:pPr>
      <w:r>
        <w:rPr>
          <w:rFonts w:ascii="Arial" w:hAnsi="Arial" w:cs="Arial"/>
          <w:color w:val="000000"/>
        </w:rPr>
        <w:tab/>
      </w:r>
      <w:r>
        <w:rPr>
          <w:rFonts w:ascii="Arial" w:hAnsi="Arial" w:cs="Arial"/>
        </w:rPr>
        <w:t>Podczas funkcjonowania instalacji fotowoltaicznej nie będą powstawać ścieki, zarówno technologiczne, jak i bytowe. Zakłada się mycie paneli wodą, przy czym przy silniejszych zabrudzeniach stosowane będą środki biodegradowalne, obojętne dla środowiska. Wody z mycia paneli wraz z wodami opadowymi i roztopowymi będą wsiąkały bezpośrednio do gruntu. Wnioskodawca przewiduje montaż transformatora suchego żywicznego lub olejowego. W celu ochrony środowiska gruntowo-wodnego, w przypadku zastosowania transformatorów olejowych, stacje transformatorowe będą wyposażone w szczelne misy olejowe, co uniemożliwi przedostanie się oleju do gruntu w trakcie awarii. Eksploatacja farmy fotowoltaicznej związana będzie również z powstawaniem niewielkiej ilości odpadów podczas przeprowadzania napraw urządzeń lub prac konserwacyjnych. Odpady te nie będą magazynowane na terenie farmy, ale bezpośrednio po ich wytworzeniu zostaną usunięte przez podmioty świadczące usługi serwisowe i przekazywane do zagospodarowania zgodnie z obowiązującymi przepisami prawa.</w:t>
      </w:r>
    </w:p>
    <w:p w14:paraId="08B551EE" w14:textId="77777777" w:rsidR="001A43B2" w:rsidRDefault="00000000">
      <w:pPr>
        <w:pStyle w:val="Standard"/>
        <w:spacing w:after="0"/>
        <w:ind w:firstLine="708"/>
      </w:pPr>
      <w:r>
        <w:rPr>
          <w:rFonts w:ascii="Arial" w:hAnsi="Arial" w:cs="Arial"/>
        </w:rPr>
        <w:t>Podczas eksploatacji (tj. przez okres do 30 lat) inwestycja nie będzie generowała zanieczyszczeń do atmosfery w przeciwieństwie do tradycyjnych form wytwarzania energii w procesach spalania, tym samym przyczyni się do ochrony powietrza i klimatu. Potencjalne źródło emisji hałasu mogą stanowić: stacje transformatorowe, magazyny energii oraz inwertery. Z kolei chłodzenie paneli fotowoltaicznych odbywać się będzie w sposób naturalny, przez obieg powietrza atmosferycznego.</w:t>
      </w:r>
      <w:r>
        <w:rPr>
          <w:rFonts w:ascii="Arial" w:eastAsia="Times New Roman" w:hAnsi="Arial" w:cs="Times New Roman"/>
          <w:szCs w:val="24"/>
          <w:lang w:eastAsia="pl-PL"/>
        </w:rPr>
        <w:tab/>
      </w:r>
    </w:p>
    <w:p w14:paraId="2F14D4E7" w14:textId="77777777" w:rsidR="001A43B2" w:rsidRDefault="00000000">
      <w:pPr>
        <w:pStyle w:val="Standarduser"/>
        <w:tabs>
          <w:tab w:val="center" w:pos="7371"/>
        </w:tabs>
        <w:spacing w:before="360"/>
      </w:pPr>
      <w:r>
        <w:rPr>
          <w:rFonts w:ascii="Arial" w:eastAsia="Times New Roman" w:hAnsi="Arial" w:cs="Times New Roman"/>
          <w:szCs w:val="24"/>
          <w:lang w:eastAsia="pl-PL"/>
        </w:rPr>
        <w:tab/>
        <w:t>Burmistrz Polanowa</w:t>
      </w:r>
    </w:p>
    <w:p w14:paraId="4D3879A9" w14:textId="77777777" w:rsidR="001A43B2" w:rsidRDefault="00000000">
      <w:pPr>
        <w:pStyle w:val="Standarduser"/>
        <w:tabs>
          <w:tab w:val="center" w:pos="7371"/>
        </w:tabs>
      </w:pPr>
      <w:r>
        <w:rPr>
          <w:rFonts w:ascii="Arial" w:eastAsia="Times New Roman" w:hAnsi="Arial" w:cs="Times New Roman"/>
          <w:szCs w:val="24"/>
          <w:lang w:eastAsia="pl-PL"/>
        </w:rPr>
        <w:tab/>
        <w:t>Grzegorz Lipski</w:t>
      </w:r>
    </w:p>
    <w:sectPr w:rsidR="001A43B2">
      <w:footerReference w:type="default" r:id="rId7"/>
      <w:pgSz w:w="11906" w:h="16838"/>
      <w:pgMar w:top="851"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0A27C" w14:textId="77777777" w:rsidR="0035193F" w:rsidRDefault="0035193F">
      <w:r>
        <w:separator/>
      </w:r>
    </w:p>
  </w:endnote>
  <w:endnote w:type="continuationSeparator" w:id="0">
    <w:p w14:paraId="7AFECC3F" w14:textId="77777777" w:rsidR="0035193F" w:rsidRDefault="00351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OpenSymbol">
    <w:panose1 w:val="020B0604020202020204"/>
    <w:charset w:val="00"/>
    <w:family w:val="auto"/>
    <w:pitch w:val="variable"/>
  </w:font>
  <w:font w:name="Courier New">
    <w:panose1 w:val="02070309020205020404"/>
    <w:charset w:val="00"/>
    <w:family w:val="modern"/>
    <w:pitch w:val="fixed"/>
    <w:sig w:usb0="E0002A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2040503050203030202"/>
    <w:charset w:val="01"/>
    <w:family w:val="roman"/>
    <w:pitch w:val="variable"/>
    <w:sig w:usb0="0000A003" w:usb1="00000000" w:usb2="00000000" w:usb3="00000000" w:csb0="00000001" w:csb1="00000000"/>
  </w:font>
  <w:font w:name="F">
    <w:panose1 w:val="020B0604020202020204"/>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9517" w14:textId="77777777" w:rsidR="006D23D6" w:rsidRDefault="00000000">
    <w:pPr>
      <w:pStyle w:val="Stopka"/>
      <w:jc w:val="right"/>
    </w:pPr>
    <w:r>
      <w:t xml:space="preserve">Strona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z </w:t>
    </w:r>
    <w:r>
      <w:rPr>
        <w:b/>
        <w:bCs/>
      </w:rPr>
      <w:fldChar w:fldCharType="begin"/>
    </w:r>
    <w:r>
      <w:rPr>
        <w:b/>
        <w:bCs/>
      </w:rPr>
      <w:instrText xml:space="preserve"> NUMPAGES </w:instrText>
    </w:r>
    <w:r>
      <w:rPr>
        <w:b/>
        <w:bCs/>
      </w:rPr>
      <w:fldChar w:fldCharType="separate"/>
    </w:r>
    <w:r>
      <w:rPr>
        <w:b/>
        <w:bCs/>
      </w:rPr>
      <w:t>2</w:t>
    </w:r>
    <w:r>
      <w:rPr>
        <w:b/>
        <w:bCs/>
      </w:rPr>
      <w:fldChar w:fldCharType="end"/>
    </w:r>
  </w:p>
  <w:p w14:paraId="05D9773D" w14:textId="77777777" w:rsidR="006D23D6" w:rsidRDefault="000000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1DE11" w14:textId="77777777" w:rsidR="0035193F" w:rsidRDefault="0035193F">
      <w:r>
        <w:rPr>
          <w:color w:val="000000"/>
        </w:rPr>
        <w:separator/>
      </w:r>
    </w:p>
  </w:footnote>
  <w:footnote w:type="continuationSeparator" w:id="0">
    <w:p w14:paraId="41BEEA5C" w14:textId="77777777" w:rsidR="0035193F" w:rsidRDefault="003519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F1B"/>
    <w:multiLevelType w:val="multilevel"/>
    <w:tmpl w:val="72C8EBC8"/>
    <w:styleLink w:val="WWNum5"/>
    <w:lvl w:ilvl="0">
      <w:numFmt w:val="bullet"/>
      <w:lvlText w:val="•"/>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15D950FB"/>
    <w:multiLevelType w:val="multilevel"/>
    <w:tmpl w:val="DD08FA06"/>
    <w:styleLink w:val="WWNum1"/>
    <w:lvl w:ilvl="0">
      <w:numFmt w:val="bullet"/>
      <w:lvlText w:val="–"/>
      <w:lvlJc w:val="left"/>
      <w:pPr>
        <w:ind w:left="720" w:hanging="360"/>
      </w:pPr>
      <w:rPr>
        <w:rFonts w:ascii="Times New Roman" w:eastAsia="OpenSymbol" w:hAnsi="Times New Roman" w:cs="OpenSymbol"/>
      </w:rPr>
    </w:lvl>
    <w:lvl w:ilvl="1">
      <w:numFmt w:val="bullet"/>
      <w:lvlText w:val="–"/>
      <w:lvlJc w:val="left"/>
      <w:pPr>
        <w:ind w:left="1080" w:hanging="360"/>
      </w:pPr>
      <w:rPr>
        <w:rFonts w:ascii="Times New Roman" w:eastAsia="OpenSymbol" w:hAnsi="Times New Roman" w:cs="OpenSymbol"/>
      </w:rPr>
    </w:lvl>
    <w:lvl w:ilvl="2">
      <w:numFmt w:val="bullet"/>
      <w:lvlText w:val="–"/>
      <w:lvlJc w:val="left"/>
      <w:pPr>
        <w:ind w:left="1440" w:hanging="360"/>
      </w:pPr>
      <w:rPr>
        <w:rFonts w:ascii="Times New Roman" w:eastAsia="OpenSymbol" w:hAnsi="Times New Roman" w:cs="OpenSymbol"/>
      </w:rPr>
    </w:lvl>
    <w:lvl w:ilvl="3">
      <w:numFmt w:val="bullet"/>
      <w:lvlText w:val="–"/>
      <w:lvlJc w:val="left"/>
      <w:pPr>
        <w:ind w:left="1800" w:hanging="360"/>
      </w:pPr>
      <w:rPr>
        <w:rFonts w:ascii="Times New Roman" w:eastAsia="OpenSymbol" w:hAnsi="Times New Roman" w:cs="OpenSymbol"/>
      </w:rPr>
    </w:lvl>
    <w:lvl w:ilvl="4">
      <w:numFmt w:val="bullet"/>
      <w:lvlText w:val="–"/>
      <w:lvlJc w:val="left"/>
      <w:pPr>
        <w:ind w:left="2160" w:hanging="360"/>
      </w:pPr>
      <w:rPr>
        <w:rFonts w:ascii="Times New Roman" w:eastAsia="OpenSymbol" w:hAnsi="Times New Roman" w:cs="OpenSymbol"/>
      </w:rPr>
    </w:lvl>
    <w:lvl w:ilvl="5">
      <w:numFmt w:val="bullet"/>
      <w:lvlText w:val="–"/>
      <w:lvlJc w:val="left"/>
      <w:pPr>
        <w:ind w:left="2520" w:hanging="360"/>
      </w:pPr>
      <w:rPr>
        <w:rFonts w:ascii="Times New Roman" w:eastAsia="OpenSymbol" w:hAnsi="Times New Roman" w:cs="OpenSymbol"/>
      </w:rPr>
    </w:lvl>
    <w:lvl w:ilvl="6">
      <w:numFmt w:val="bullet"/>
      <w:lvlText w:val="–"/>
      <w:lvlJc w:val="left"/>
      <w:pPr>
        <w:ind w:left="2880" w:hanging="360"/>
      </w:pPr>
      <w:rPr>
        <w:rFonts w:ascii="Times New Roman" w:eastAsia="OpenSymbol" w:hAnsi="Times New Roman" w:cs="OpenSymbol"/>
      </w:rPr>
    </w:lvl>
    <w:lvl w:ilvl="7">
      <w:numFmt w:val="bullet"/>
      <w:lvlText w:val="–"/>
      <w:lvlJc w:val="left"/>
      <w:pPr>
        <w:ind w:left="3240" w:hanging="360"/>
      </w:pPr>
      <w:rPr>
        <w:rFonts w:ascii="Times New Roman" w:eastAsia="OpenSymbol" w:hAnsi="Times New Roman" w:cs="OpenSymbol"/>
      </w:rPr>
    </w:lvl>
    <w:lvl w:ilvl="8">
      <w:numFmt w:val="bullet"/>
      <w:lvlText w:val="–"/>
      <w:lvlJc w:val="left"/>
      <w:pPr>
        <w:ind w:left="3600" w:hanging="360"/>
      </w:pPr>
      <w:rPr>
        <w:rFonts w:ascii="Times New Roman" w:eastAsia="OpenSymbol" w:hAnsi="Times New Roman" w:cs="OpenSymbol"/>
      </w:rPr>
    </w:lvl>
  </w:abstractNum>
  <w:abstractNum w:abstractNumId="2" w15:restartNumberingAfterBreak="0">
    <w:nsid w:val="1E2074E3"/>
    <w:multiLevelType w:val="multilevel"/>
    <w:tmpl w:val="E10C07BC"/>
    <w:styleLink w:val="WWNum2"/>
    <w:lvl w:ilvl="0">
      <w:start w:val="1"/>
      <w:numFmt w:val="decimal"/>
      <w:lvlText w:val="%1."/>
      <w:lvlJc w:val="left"/>
      <w:pPr>
        <w:ind w:left="720" w:hanging="360"/>
      </w:pPr>
      <w:rPr>
        <w:sz w:val="1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9E60F37"/>
    <w:multiLevelType w:val="multilevel"/>
    <w:tmpl w:val="DA9E84BA"/>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 w15:restartNumberingAfterBreak="0">
    <w:nsid w:val="352D4964"/>
    <w:multiLevelType w:val="multilevel"/>
    <w:tmpl w:val="64CC7DE6"/>
    <w:styleLink w:val="WWNum3"/>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 w15:restartNumberingAfterBreak="0">
    <w:nsid w:val="3866673C"/>
    <w:multiLevelType w:val="multilevel"/>
    <w:tmpl w:val="4A02B3FA"/>
    <w:styleLink w:val="WWNum4"/>
    <w:lvl w:ilvl="0">
      <w:numFmt w:val="bullet"/>
      <w:lvlText w:val="•"/>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4D69016C"/>
    <w:multiLevelType w:val="multilevel"/>
    <w:tmpl w:val="98E0483A"/>
    <w:styleLink w:val="WWNum6"/>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num w:numId="1" w16cid:durableId="873730355">
    <w:abstractNumId w:val="3"/>
  </w:num>
  <w:num w:numId="2" w16cid:durableId="648483154">
    <w:abstractNumId w:val="1"/>
  </w:num>
  <w:num w:numId="3" w16cid:durableId="129708616">
    <w:abstractNumId w:val="2"/>
  </w:num>
  <w:num w:numId="4" w16cid:durableId="1142237194">
    <w:abstractNumId w:val="4"/>
  </w:num>
  <w:num w:numId="5" w16cid:durableId="220333172">
    <w:abstractNumId w:val="5"/>
  </w:num>
  <w:num w:numId="6" w16cid:durableId="221990601">
    <w:abstractNumId w:val="0"/>
  </w:num>
  <w:num w:numId="7" w16cid:durableId="5518896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1A43B2"/>
    <w:rsid w:val="001A43B2"/>
    <w:rsid w:val="002E6C9C"/>
    <w:rsid w:val="003519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41D253FD"/>
  <w15:docId w15:val="{F5253012-2F42-F040-8569-343C06C40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kern w:val="3"/>
        <w:sz w:val="22"/>
        <w:szCs w:val="22"/>
        <w:lang w:val="pl-PL"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spacing w:after="200" w:line="276" w:lineRule="auto"/>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40"/>
    </w:pPr>
  </w:style>
  <w:style w:type="paragraph" w:styleId="Lista">
    <w:name w:val="List"/>
    <w:basedOn w:val="Textbodyuser"/>
    <w:rPr>
      <w:rFonts w:cs="Mangal"/>
    </w:rPr>
  </w:style>
  <w:style w:type="paragraph" w:styleId="Legenda">
    <w:name w:val="caption"/>
    <w:basedOn w:val="Standarduser"/>
    <w:pPr>
      <w:suppressLineNumbers/>
      <w:spacing w:before="120" w:after="120"/>
    </w:pPr>
    <w:rPr>
      <w:rFonts w:cs="Mangal"/>
      <w:i/>
      <w:iCs/>
      <w:sz w:val="24"/>
      <w:szCs w:val="24"/>
    </w:rPr>
  </w:style>
  <w:style w:type="paragraph" w:customStyle="1" w:styleId="Index">
    <w:name w:val="Index"/>
    <w:basedOn w:val="Standarduser"/>
    <w:pPr>
      <w:suppressLineNumbers/>
    </w:pPr>
    <w:rPr>
      <w:rFonts w:cs="Mangal"/>
    </w:rPr>
  </w:style>
  <w:style w:type="paragraph" w:customStyle="1" w:styleId="Standarduser">
    <w:name w:val="Standard (user)"/>
    <w:pPr>
      <w:widowControl/>
      <w:suppressAutoHyphens/>
      <w:spacing w:after="200" w:line="276" w:lineRule="auto"/>
    </w:pPr>
  </w:style>
  <w:style w:type="paragraph" w:styleId="Nagwek">
    <w:name w:val="header"/>
    <w:basedOn w:val="Standard"/>
    <w:pPr>
      <w:tabs>
        <w:tab w:val="center" w:pos="4536"/>
        <w:tab w:val="right" w:pos="9072"/>
      </w:tabs>
      <w:spacing w:after="0" w:line="240" w:lineRule="auto"/>
    </w:pPr>
  </w:style>
  <w:style w:type="paragraph" w:customStyle="1" w:styleId="Textbodyuser">
    <w:name w:val="Text body (user)"/>
    <w:basedOn w:val="Standarduser"/>
    <w:pPr>
      <w:spacing w:after="120"/>
    </w:pPr>
  </w:style>
  <w:style w:type="paragraph" w:styleId="Stopka">
    <w:name w:val="footer"/>
    <w:basedOn w:val="Standard"/>
    <w:pPr>
      <w:tabs>
        <w:tab w:val="center" w:pos="4536"/>
        <w:tab w:val="right" w:pos="9072"/>
      </w:tabs>
      <w:spacing w:after="0" w:line="240" w:lineRule="auto"/>
    </w:pPr>
  </w:style>
  <w:style w:type="paragraph" w:customStyle="1" w:styleId="Default">
    <w:name w:val="Default"/>
    <w:pPr>
      <w:widowControl/>
      <w:suppressAutoHyphens/>
      <w:textAlignment w:val="auto"/>
    </w:pPr>
    <w:rPr>
      <w:rFonts w:ascii="Times New Roman" w:eastAsia="Calibri" w:hAnsi="Times New Roman" w:cs="Times New Roman"/>
      <w:color w:val="000000"/>
      <w:kern w:val="0"/>
      <w:sz w:val="24"/>
      <w:szCs w:val="24"/>
    </w:rPr>
  </w:style>
  <w:style w:type="paragraph" w:styleId="Akapitzlist">
    <w:name w:val="List Paragraph"/>
    <w:basedOn w:val="Standard"/>
    <w:pPr>
      <w:widowControl/>
      <w:suppressAutoHyphens w:val="0"/>
      <w:ind w:left="720"/>
      <w:textAlignment w:val="auto"/>
    </w:pPr>
    <w:rPr>
      <w:rFonts w:eastAsia="Calibri" w:cs="F"/>
      <w:kern w:val="0"/>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NagwekZnak">
    <w:name w:val="Nagłówek Znak"/>
    <w:basedOn w:val="Domylnaczcionkaakapitu"/>
  </w:style>
  <w:style w:type="character" w:customStyle="1" w:styleId="StopkaZnak">
    <w:name w:val="Stopka Znak"/>
    <w:basedOn w:val="Domylnaczcionkaakapitu"/>
  </w:style>
  <w:style w:type="character" w:customStyle="1" w:styleId="ListLabel1">
    <w:name w:val="ListLabel 1"/>
    <w:rPr>
      <w:rFonts w:eastAsia="OpenSymbol" w:cs="OpenSymbol"/>
    </w:rPr>
  </w:style>
  <w:style w:type="character" w:customStyle="1" w:styleId="ListLabel2">
    <w:name w:val="ListLabel 2"/>
    <w:rPr>
      <w:rFonts w:eastAsia="OpenSymbol" w:cs="OpenSymbol"/>
    </w:rPr>
  </w:style>
  <w:style w:type="character" w:customStyle="1" w:styleId="ListLabel3">
    <w:name w:val="ListLabel 3"/>
    <w:rPr>
      <w:rFonts w:eastAsia="OpenSymbol" w:cs="OpenSymbol"/>
    </w:rPr>
  </w:style>
  <w:style w:type="character" w:customStyle="1" w:styleId="ListLabel4">
    <w:name w:val="ListLabel 4"/>
    <w:rPr>
      <w:rFonts w:eastAsia="OpenSymbol" w:cs="OpenSymbol"/>
    </w:rPr>
  </w:style>
  <w:style w:type="character" w:customStyle="1" w:styleId="ListLabel5">
    <w:name w:val="ListLabel 5"/>
    <w:rPr>
      <w:rFonts w:eastAsia="OpenSymbol" w:cs="OpenSymbol"/>
    </w:rPr>
  </w:style>
  <w:style w:type="character" w:customStyle="1" w:styleId="ListLabel6">
    <w:name w:val="ListLabel 6"/>
    <w:rPr>
      <w:rFonts w:eastAsia="OpenSymbol" w:cs="OpenSymbol"/>
    </w:rPr>
  </w:style>
  <w:style w:type="character" w:customStyle="1" w:styleId="ListLabel7">
    <w:name w:val="ListLabel 7"/>
    <w:rPr>
      <w:rFonts w:eastAsia="OpenSymbol" w:cs="OpenSymbol"/>
    </w:rPr>
  </w:style>
  <w:style w:type="character" w:customStyle="1" w:styleId="ListLabel8">
    <w:name w:val="ListLabel 8"/>
    <w:rPr>
      <w:rFonts w:eastAsia="OpenSymbol" w:cs="OpenSymbol"/>
    </w:rPr>
  </w:style>
  <w:style w:type="character" w:customStyle="1" w:styleId="ListLabel9">
    <w:name w:val="ListLabel 9"/>
    <w:rPr>
      <w:rFonts w:eastAsia="OpenSymbol" w:cs="OpenSymbol"/>
    </w:rPr>
  </w:style>
  <w:style w:type="character" w:customStyle="1" w:styleId="ListLabel10">
    <w:name w:val="ListLabel 10"/>
    <w:rPr>
      <w:sz w:val="19"/>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numbering" w:customStyle="1" w:styleId="NoList">
    <w:name w:val="No List"/>
    <w:basedOn w:val="Bezlisty"/>
    <w:pPr>
      <w:numPr>
        <w:numId w:val="1"/>
      </w:numPr>
    </w:pPr>
  </w:style>
  <w:style w:type="numbering" w:customStyle="1" w:styleId="WWNum1">
    <w:name w:val="WWNum1"/>
    <w:basedOn w:val="Bezlisty"/>
    <w:pPr>
      <w:numPr>
        <w:numId w:val="2"/>
      </w:numPr>
    </w:pPr>
  </w:style>
  <w:style w:type="numbering" w:customStyle="1" w:styleId="WWNum2">
    <w:name w:val="WWNum2"/>
    <w:basedOn w:val="Bezlisty"/>
    <w:pPr>
      <w:numPr>
        <w:numId w:val="3"/>
      </w:numPr>
    </w:pPr>
  </w:style>
  <w:style w:type="numbering" w:customStyle="1" w:styleId="WWNum3">
    <w:name w:val="WWNum3"/>
    <w:basedOn w:val="Bezlisty"/>
    <w:pPr>
      <w:numPr>
        <w:numId w:val="4"/>
      </w:numPr>
    </w:pPr>
  </w:style>
  <w:style w:type="numbering" w:customStyle="1" w:styleId="WWNum4">
    <w:name w:val="WWNum4"/>
    <w:basedOn w:val="Bezlisty"/>
    <w:pPr>
      <w:numPr>
        <w:numId w:val="5"/>
      </w:numPr>
    </w:pPr>
  </w:style>
  <w:style w:type="numbering" w:customStyle="1" w:styleId="WWNum5">
    <w:name w:val="WWNum5"/>
    <w:basedOn w:val="Bezlisty"/>
    <w:pPr>
      <w:numPr>
        <w:numId w:val="6"/>
      </w:numPr>
    </w:pPr>
  </w:style>
  <w:style w:type="numbering" w:customStyle="1" w:styleId="WWNum6">
    <w:name w:val="WWNum6"/>
    <w:basedOn w:val="Bezlisty"/>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779</Words>
  <Characters>4678</Characters>
  <Application>Microsoft Office Word</Application>
  <DocSecurity>0</DocSecurity>
  <Lines>38</Lines>
  <Paragraphs>10</Paragraphs>
  <ScaleCrop>false</ScaleCrop>
  <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Kazimierz</dc:creator>
  <cp:lastModifiedBy>Krzysztof Szypulski</cp:lastModifiedBy>
  <cp:revision>2</cp:revision>
  <cp:lastPrinted>2023-05-11T08:26:00Z</cp:lastPrinted>
  <dcterms:created xsi:type="dcterms:W3CDTF">2023-05-12T09:39:00Z</dcterms:created>
  <dcterms:modified xsi:type="dcterms:W3CDTF">2023-05-12T09:39:00Z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