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EFA" w14:textId="0B50FB3D" w:rsidR="00A75714" w:rsidRDefault="00A75714" w:rsidP="000805DC">
      <w:pPr>
        <w:pStyle w:val="Standarduser"/>
        <w:ind w:left="5245"/>
      </w:pPr>
      <w:r>
        <w:rPr>
          <w:rFonts w:ascii="Arial" w:hAnsi="Arial" w:cs="Times New Roman"/>
          <w:sz w:val="18"/>
          <w:szCs w:val="18"/>
        </w:rPr>
        <w:t>Załącznik nr 1 do decyzji znak: GNR.IV.6220.</w:t>
      </w:r>
      <w:r w:rsidR="00FE7075">
        <w:rPr>
          <w:rFonts w:ascii="Arial" w:hAnsi="Arial" w:cs="Times New Roman"/>
          <w:sz w:val="18"/>
          <w:szCs w:val="18"/>
        </w:rPr>
        <w:t>4</w:t>
      </w:r>
      <w:r>
        <w:rPr>
          <w:rFonts w:ascii="Arial" w:hAnsi="Arial" w:cs="Times New Roman"/>
          <w:sz w:val="18"/>
          <w:szCs w:val="18"/>
        </w:rPr>
        <w:t>.202</w:t>
      </w:r>
      <w:r w:rsidR="00FE7075">
        <w:rPr>
          <w:rFonts w:ascii="Arial" w:hAnsi="Arial" w:cs="Times New Roman"/>
          <w:sz w:val="18"/>
          <w:szCs w:val="18"/>
        </w:rPr>
        <w:t>4</w:t>
      </w:r>
      <w:r>
        <w:rPr>
          <w:rFonts w:ascii="Arial" w:hAnsi="Arial" w:cs="Times New Roman"/>
          <w:sz w:val="18"/>
          <w:szCs w:val="18"/>
        </w:rPr>
        <w:t>.</w:t>
      </w:r>
      <w:r w:rsidR="00FE7075">
        <w:rPr>
          <w:rFonts w:ascii="Arial" w:hAnsi="Arial" w:cs="Times New Roman"/>
          <w:sz w:val="18"/>
          <w:szCs w:val="18"/>
        </w:rPr>
        <w:t>24</w:t>
      </w:r>
      <w:r>
        <w:rPr>
          <w:rFonts w:ascii="Arial" w:hAnsi="Arial" w:cs="Times New Roman"/>
          <w:sz w:val="18"/>
          <w:szCs w:val="18"/>
        </w:rPr>
        <w:t xml:space="preserve"> z dnia </w:t>
      </w:r>
      <w:r w:rsidR="00FD4797">
        <w:rPr>
          <w:rFonts w:ascii="Arial" w:hAnsi="Arial" w:cs="Times New Roman"/>
          <w:sz w:val="18"/>
          <w:szCs w:val="18"/>
        </w:rPr>
        <w:t>30</w:t>
      </w:r>
      <w:r w:rsidR="00FE7075">
        <w:rPr>
          <w:rFonts w:ascii="Arial" w:hAnsi="Arial" w:cs="Times New Roman"/>
          <w:sz w:val="18"/>
          <w:szCs w:val="18"/>
        </w:rPr>
        <w:t xml:space="preserve"> marca 2026</w:t>
      </w:r>
      <w:r>
        <w:rPr>
          <w:rFonts w:ascii="Arial" w:hAnsi="Arial" w:cs="Times New Roman"/>
          <w:sz w:val="18"/>
          <w:szCs w:val="18"/>
        </w:rPr>
        <w:t xml:space="preserve"> r. o środowiskowych uwarunkowaniach na realizację przedsięwzięcia</w:t>
      </w:r>
    </w:p>
    <w:p w14:paraId="0D358BD5" w14:textId="77777777" w:rsidR="00A75714" w:rsidRDefault="00A75714" w:rsidP="00A75714">
      <w:pPr>
        <w:pStyle w:val="Standarduser"/>
        <w:spacing w:before="480"/>
        <w:jc w:val="center"/>
      </w:pPr>
      <w:r>
        <w:rPr>
          <w:rFonts w:ascii="Arial" w:hAnsi="Arial" w:cs="Times New Roman"/>
          <w:b/>
          <w:u w:val="single"/>
        </w:rPr>
        <w:t>CHARAKTERYSTYKA PRZEDSIĘWZIĘCIA</w:t>
      </w:r>
    </w:p>
    <w:p w14:paraId="5A422A24" w14:textId="50651412" w:rsidR="00A75714" w:rsidRDefault="00FE7075" w:rsidP="00A75714">
      <w:pPr>
        <w:pStyle w:val="Standarduser"/>
        <w:spacing w:after="0"/>
      </w:pPr>
      <w:r w:rsidRPr="00FE7075">
        <w:rPr>
          <w:rFonts w:ascii="Arial" w:hAnsi="Arial" w:cs="Arial"/>
          <w:b/>
          <w:bCs/>
        </w:rPr>
        <w:t>pn.:</w:t>
      </w:r>
      <w:r w:rsidRPr="00FE7075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„</w:t>
      </w:r>
      <w:r w:rsidRPr="00202A56">
        <w:rPr>
          <w:rFonts w:ascii="Arial" w:hAnsi="Arial" w:cs="Arial"/>
          <w:b/>
          <w:bCs/>
        </w:rPr>
        <w:t xml:space="preserve">Magazyn Energii Elektrycznej </w:t>
      </w:r>
      <w:proofErr w:type="spellStart"/>
      <w:r w:rsidRPr="00202A56">
        <w:rPr>
          <w:rFonts w:ascii="Arial" w:hAnsi="Arial" w:cs="Arial"/>
          <w:b/>
          <w:bCs/>
        </w:rPr>
        <w:t>Vivos</w:t>
      </w:r>
      <w:proofErr w:type="spellEnd"/>
      <w:r w:rsidRPr="00202A56">
        <w:rPr>
          <w:rFonts w:ascii="Arial" w:hAnsi="Arial" w:cs="Arial"/>
          <w:b/>
          <w:bCs/>
        </w:rPr>
        <w:t xml:space="preserve"> 4 o mocy do 203,5 MW wraz z niezbędną infrastrukturą towarzyszącą, zlokalizowanego na działce ewidencyjnej nr 215/5 </w:t>
      </w:r>
      <w:proofErr w:type="spellStart"/>
      <w:r w:rsidRPr="00202A56">
        <w:rPr>
          <w:rFonts w:ascii="Arial" w:hAnsi="Arial" w:cs="Arial"/>
          <w:b/>
          <w:bCs/>
        </w:rPr>
        <w:t>obr</w:t>
      </w:r>
      <w:proofErr w:type="spellEnd"/>
      <w:r w:rsidRPr="00202A56">
        <w:rPr>
          <w:rFonts w:ascii="Arial" w:hAnsi="Arial" w:cs="Arial"/>
          <w:b/>
          <w:bCs/>
        </w:rPr>
        <w:t>. Wietrzno, gmina Polanów</w:t>
      </w:r>
      <w:r>
        <w:rPr>
          <w:rFonts w:ascii="Arial" w:hAnsi="Arial" w:cs="Arial"/>
          <w:iCs/>
        </w:rPr>
        <w:t xml:space="preserve">” </w:t>
      </w:r>
    </w:p>
    <w:p w14:paraId="64F66FA6" w14:textId="77777777" w:rsidR="00FE7075" w:rsidRDefault="00FE7075" w:rsidP="000805DC">
      <w:pPr>
        <w:widowControl/>
        <w:spacing w:before="240" w:line="276" w:lineRule="auto"/>
        <w:ind w:firstLine="709"/>
        <w:textAlignment w:val="auto"/>
        <w:rPr>
          <w:rFonts w:ascii="Arial" w:eastAsia="Calibri" w:hAnsi="Arial" w:cs="Arial"/>
          <w:color w:val="000000"/>
          <w:kern w:val="0"/>
        </w:rPr>
      </w:pPr>
      <w:r w:rsidRPr="00FE7075">
        <w:rPr>
          <w:rFonts w:ascii="Arial" w:eastAsia="Calibri" w:hAnsi="Arial" w:cs="Arial"/>
          <w:color w:val="000000"/>
          <w:kern w:val="0"/>
        </w:rPr>
        <w:t>Przedmiotowe przedsięwzięcie będzie polegało na budowie magazynu energii elektrycznej o mocy do 203,5 MW, wraz z niezbędną infrastrukturą techniczną, w północnej części działki nr 215/5 obręb Wietrzno, gm. Polanów, w całości zewidencjonowanej jako grunty orne (RVI).</w:t>
      </w:r>
    </w:p>
    <w:p w14:paraId="0680B635" w14:textId="12DACE32" w:rsidR="00FE7075" w:rsidRDefault="00FE7075" w:rsidP="000805DC">
      <w:pPr>
        <w:widowControl/>
        <w:spacing w:line="276" w:lineRule="auto"/>
        <w:ind w:firstLine="709"/>
        <w:textAlignment w:val="auto"/>
        <w:rPr>
          <w:rFonts w:ascii="Arial" w:eastAsiaTheme="minorHAnsi" w:hAnsi="Arial" w:cs="Arial"/>
          <w14:ligatures w14:val="standardContextual"/>
        </w:rPr>
      </w:pPr>
      <w:r w:rsidRPr="00C82495">
        <w:rPr>
          <w:rFonts w:ascii="Arial" w:eastAsiaTheme="minorHAnsi" w:hAnsi="Arial" w:cs="Arial"/>
          <w14:ligatures w14:val="standardContextual"/>
        </w:rPr>
        <w:t>Powierzchnia zajęta pod obiekty kubaturowe, w postaci kontenerowych magazynów energii, stacji transformatorowych, stacji transformatorowej NN lub WN/SN, a także drogi wewnętrzne, liczona po ogrodzeniu osiągnie do 1,49 ha. Natomiast powierzchnia przeznaczona pod infrastrukturę techniczną, tj. drogi dojazdowe, podziemne linie kablowe elektroenergetyczne oraz teletechniczne osiągnie ok. 7,9 ha.</w:t>
      </w:r>
    </w:p>
    <w:p w14:paraId="5CE59839" w14:textId="6B61C540" w:rsidR="00FE7075" w:rsidRDefault="00FE7075" w:rsidP="000805DC">
      <w:pPr>
        <w:widowControl/>
        <w:spacing w:line="276" w:lineRule="auto"/>
        <w:ind w:firstLine="709"/>
        <w:textAlignment w:val="auto"/>
        <w:rPr>
          <w:rFonts w:ascii="Arial" w:hAnsi="Arial" w:cs="Arial"/>
          <w:color w:val="000000"/>
        </w:rPr>
      </w:pPr>
      <w:r w:rsidRPr="009D18F3">
        <w:rPr>
          <w:rFonts w:ascii="Arial" w:hAnsi="Arial" w:cs="Arial"/>
          <w:color w:val="000000"/>
        </w:rPr>
        <w:t>Etap realizacji przedsięwzięcia związany będzie z typową emisją akustyczną i emisją zanieczyszczeń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 xml:space="preserve">do powietrza charakterystyczną dla prac budowlanych, wynikającą </w:t>
      </w:r>
      <w:r>
        <w:rPr>
          <w:rFonts w:ascii="Arial" w:hAnsi="Arial" w:cs="Arial"/>
          <w:color w:val="000000"/>
        </w:rPr>
        <w:t>z </w:t>
      </w:r>
      <w:r w:rsidRPr="009D18F3">
        <w:rPr>
          <w:rFonts w:ascii="Arial" w:hAnsi="Arial" w:cs="Arial"/>
          <w:color w:val="000000"/>
        </w:rPr>
        <w:t>transportu materiałów oraz pracy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urządzeń i maszyn. Niemniej jednak prace budowlane będą prowadzone wyłącznie w porze dziennej,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w godzinach 6:00-22:00</w:t>
      </w:r>
      <w:r>
        <w:rPr>
          <w:rFonts w:ascii="Arial" w:hAnsi="Arial" w:cs="Arial"/>
          <w:color w:val="000000"/>
        </w:rPr>
        <w:t xml:space="preserve">. </w:t>
      </w:r>
      <w:r w:rsidRPr="009D18F3">
        <w:rPr>
          <w:rFonts w:ascii="Arial" w:hAnsi="Arial" w:cs="Arial"/>
          <w:color w:val="000000"/>
        </w:rPr>
        <w:t>Magazynowanie olejów,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smarów i materiałów niezbędnych do eksploatacji, konserwacji sprzętu, a także naprawy sprzętu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i pojazdów będą odbywały się poza miejscem realizacji prac. Ścieki bytowe będą gromadzone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w przenośnych sanitariatach, a następnie przekazywane uprawnionym podmiotom. Ponadto plac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budowy zostanie wyposażony w sorbenty przeznaczone do neutralizacji ewentualnych wycieków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substancji ropopochodnych. Wytwarzane w trakcie realizacji przedsięwzięcia odpady będą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magazynowane selektywnie, w kontenerach, a</w:t>
      </w:r>
      <w:r>
        <w:rPr>
          <w:rFonts w:ascii="Arial" w:hAnsi="Arial" w:cs="Arial"/>
          <w:color w:val="000000"/>
        </w:rPr>
        <w:t> </w:t>
      </w:r>
      <w:r w:rsidRPr="009D18F3">
        <w:rPr>
          <w:rFonts w:ascii="Arial" w:hAnsi="Arial" w:cs="Arial"/>
          <w:color w:val="000000"/>
        </w:rPr>
        <w:t>następnie przekazywane uprawnionym podmiotom.</w:t>
      </w:r>
    </w:p>
    <w:p w14:paraId="0F76A535" w14:textId="55AC968E" w:rsidR="00FE7075" w:rsidRDefault="00FE7075" w:rsidP="000805DC">
      <w:pPr>
        <w:widowControl/>
        <w:spacing w:line="276" w:lineRule="auto"/>
        <w:ind w:firstLine="709"/>
        <w:textAlignment w:val="auto"/>
        <w:rPr>
          <w:rFonts w:ascii="Arial" w:hAnsi="Arial" w:cs="Arial"/>
          <w:color w:val="000000"/>
        </w:rPr>
      </w:pPr>
      <w:r w:rsidRPr="009D18F3">
        <w:rPr>
          <w:rFonts w:ascii="Arial" w:hAnsi="Arial" w:cs="Arial"/>
          <w:color w:val="000000"/>
        </w:rPr>
        <w:t>Na etapie eksploatacji inwestycji nie będą powstawały substancje powodujące zanieczyszczenie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atmosfery. Natomiast źródłem emisji hałasu na etapie funkcjonowania przedsięwzięcia będą: magazyny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energii (do 168 szt.) wraz z inwerterami (do 1008 szt.) o</w:t>
      </w:r>
      <w:r>
        <w:rPr>
          <w:rFonts w:ascii="Arial" w:hAnsi="Arial" w:cs="Arial"/>
          <w:color w:val="000000"/>
        </w:rPr>
        <w:t> </w:t>
      </w:r>
      <w:r w:rsidRPr="009D18F3">
        <w:rPr>
          <w:rFonts w:ascii="Arial" w:hAnsi="Arial" w:cs="Arial"/>
          <w:color w:val="000000"/>
        </w:rPr>
        <w:t xml:space="preserve">poziomie mocy akustycznej do 86,3 </w:t>
      </w:r>
      <w:proofErr w:type="spellStart"/>
      <w:r w:rsidRPr="009D18F3">
        <w:rPr>
          <w:rFonts w:ascii="Arial" w:hAnsi="Arial" w:cs="Arial"/>
          <w:color w:val="000000"/>
        </w:rPr>
        <w:t>dB</w:t>
      </w:r>
      <w:proofErr w:type="spellEnd"/>
      <w:r w:rsidRPr="009D18F3">
        <w:rPr>
          <w:rFonts w:ascii="Arial" w:hAnsi="Arial" w:cs="Arial"/>
          <w:color w:val="000000"/>
        </w:rPr>
        <w:t xml:space="preserve"> każdy,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stacja transformatorowa NN lub WN/SN (główny punkt rozdzielczy/odbiorczy) – 1 szt. o poziomie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 xml:space="preserve">mocy akustycznej do 99 </w:t>
      </w:r>
      <w:proofErr w:type="spellStart"/>
      <w:r w:rsidRPr="009D18F3">
        <w:rPr>
          <w:rFonts w:ascii="Arial" w:hAnsi="Arial" w:cs="Arial"/>
          <w:color w:val="000000"/>
        </w:rPr>
        <w:t>dB</w:t>
      </w:r>
      <w:proofErr w:type="spellEnd"/>
      <w:r w:rsidRPr="009D18F3">
        <w:rPr>
          <w:rFonts w:ascii="Arial" w:hAnsi="Arial" w:cs="Arial"/>
          <w:color w:val="000000"/>
        </w:rPr>
        <w:t xml:space="preserve"> oraz kontenerowe stacje transformatorowe (do 42 szt.) o poziomie mocy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 xml:space="preserve">akustycznej do 83,8 </w:t>
      </w:r>
      <w:proofErr w:type="spellStart"/>
      <w:r w:rsidRPr="009D18F3">
        <w:rPr>
          <w:rFonts w:ascii="Arial" w:hAnsi="Arial" w:cs="Arial"/>
          <w:color w:val="000000"/>
        </w:rPr>
        <w:t>dB</w:t>
      </w:r>
      <w:proofErr w:type="spellEnd"/>
      <w:r w:rsidRPr="009D18F3">
        <w:rPr>
          <w:rFonts w:ascii="Arial" w:hAnsi="Arial" w:cs="Arial"/>
          <w:color w:val="000000"/>
        </w:rPr>
        <w:t>.</w:t>
      </w:r>
    </w:p>
    <w:p w14:paraId="5928F8F8" w14:textId="60CDE6D8" w:rsidR="000805DC" w:rsidRPr="00E63A6A" w:rsidRDefault="000805DC" w:rsidP="000805DC">
      <w:pPr>
        <w:pStyle w:val="Standard"/>
        <w:spacing w:after="0"/>
        <w:ind w:firstLine="709"/>
        <w:rPr>
          <w:rFonts w:ascii="Arial" w:hAnsi="Arial" w:cs="Arial"/>
        </w:rPr>
      </w:pPr>
      <w:r w:rsidRPr="007C163D">
        <w:rPr>
          <w:rFonts w:ascii="Arial" w:hAnsi="Arial" w:cs="Arial"/>
          <w:color w:val="000000"/>
        </w:rPr>
        <w:t>Eksploatacja projektowanej instalacji nie wpłynie również negatywnie na środowisko gruntowo</w:t>
      </w:r>
      <w:r>
        <w:rPr>
          <w:rFonts w:ascii="Arial" w:hAnsi="Arial" w:cs="Arial"/>
          <w:color w:val="000000"/>
        </w:rPr>
        <w:t>-</w:t>
      </w:r>
      <w:r w:rsidRPr="007C163D">
        <w:rPr>
          <w:rFonts w:ascii="Arial" w:hAnsi="Arial" w:cs="Arial"/>
          <w:color w:val="000000"/>
        </w:rPr>
        <w:t>wodne.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Zastosowanie misy olejowej mogącej pomieścić całą zawartość oleju znajdującego się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w transformatorze oraz umieszczenie go w stacji transformatorowej, w</w:t>
      </w:r>
      <w:r>
        <w:rPr>
          <w:rFonts w:ascii="Arial" w:hAnsi="Arial" w:cs="Arial"/>
          <w:color w:val="000000"/>
        </w:rPr>
        <w:t> </w:t>
      </w:r>
      <w:r w:rsidRPr="007C163D">
        <w:rPr>
          <w:rFonts w:ascii="Arial" w:hAnsi="Arial" w:cs="Arial"/>
          <w:color w:val="000000"/>
        </w:rPr>
        <w:t>przypadku transformatora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olejowego, niweluje ryzyko zanieczyszczenia środowiska gruntowo-wodnego substancjami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ropopochodnymi. Dodatkowo wody opadowe i roztopowe z</w:t>
      </w:r>
      <w:r>
        <w:rPr>
          <w:rFonts w:ascii="Arial" w:hAnsi="Arial" w:cs="Arial"/>
          <w:color w:val="000000"/>
        </w:rPr>
        <w:t> </w:t>
      </w:r>
      <w:r w:rsidRPr="007C163D">
        <w:rPr>
          <w:rFonts w:ascii="Arial" w:hAnsi="Arial" w:cs="Arial"/>
          <w:color w:val="000000"/>
        </w:rPr>
        <w:t>terenu stacji GPO (Głównego Punktu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Odbioru) oraz mis olejowych zlokalizowanych pod transformatorami będą odprowadzane do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zamkniętego, bezodpływowego zbiornika o</w:t>
      </w:r>
      <w:r>
        <w:rPr>
          <w:rFonts w:ascii="Arial" w:hAnsi="Arial" w:cs="Arial"/>
          <w:color w:val="000000"/>
        </w:rPr>
        <w:t> </w:t>
      </w:r>
      <w:r w:rsidRPr="00EA06B0">
        <w:rPr>
          <w:rFonts w:ascii="Arial" w:hAnsi="Arial" w:cs="Arial"/>
          <w:color w:val="000000"/>
        </w:rPr>
        <w:t>pojemności minimum 15 m3, po ich wcześniejszym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 xml:space="preserve">podczyszczeniu w separatorze substancji ropopochodnych, a następnie systematycznie </w:t>
      </w:r>
      <w:r w:rsidRPr="00E63A6A">
        <w:rPr>
          <w:rFonts w:ascii="Arial" w:hAnsi="Arial" w:cs="Arial"/>
        </w:rPr>
        <w:t>przekazywane do utylizacji uprawnionym podmiotowym. Natomiast na pozostałym terenie inwestycji wody opadowe będą odprowadzane powierzchniowo do gruntu.</w:t>
      </w:r>
    </w:p>
    <w:p w14:paraId="5625497D" w14:textId="79237860" w:rsidR="000805DC" w:rsidRPr="00E63A6A" w:rsidRDefault="000805DC" w:rsidP="000805DC">
      <w:pPr>
        <w:pStyle w:val="Standard"/>
        <w:tabs>
          <w:tab w:val="center" w:pos="7371"/>
        </w:tabs>
        <w:spacing w:before="480" w:after="0"/>
        <w:ind w:firstLine="709"/>
        <w:rPr>
          <w:rFonts w:ascii="Arial" w:hAnsi="Arial" w:cs="Arial"/>
        </w:rPr>
      </w:pPr>
      <w:r w:rsidRPr="00E63A6A">
        <w:rPr>
          <w:rFonts w:ascii="Arial" w:eastAsia="Times New Roman" w:hAnsi="Arial" w:cs="Times New Roman"/>
          <w:szCs w:val="24"/>
          <w:lang w:eastAsia="pl-PL"/>
        </w:rPr>
        <w:tab/>
        <w:t>Burmistrz Polanowa</w:t>
      </w:r>
    </w:p>
    <w:p w14:paraId="52446A08" w14:textId="0A6C55C7" w:rsidR="00D94274" w:rsidRPr="00E63A6A" w:rsidRDefault="000805DC" w:rsidP="000805DC">
      <w:pPr>
        <w:pStyle w:val="Standarduser"/>
        <w:tabs>
          <w:tab w:val="center" w:pos="7371"/>
        </w:tabs>
      </w:pPr>
      <w:r w:rsidRPr="00E63A6A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D94274" w:rsidRPr="00E63A6A" w:rsidSect="000805DC">
      <w:footerReference w:type="default" r:id="rId6"/>
      <w:pgSz w:w="11906" w:h="16838"/>
      <w:pgMar w:top="426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3115C" w14:textId="77777777" w:rsidR="000805DC" w:rsidRDefault="000805DC">
      <w:r>
        <w:separator/>
      </w:r>
    </w:p>
  </w:endnote>
  <w:endnote w:type="continuationSeparator" w:id="0">
    <w:p w14:paraId="2C3FAC1C" w14:textId="77777777" w:rsidR="000805DC" w:rsidRDefault="0008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8EE93" w14:textId="77777777" w:rsidR="00A75714" w:rsidRPr="000805DC" w:rsidRDefault="00A75714">
    <w:pPr>
      <w:pStyle w:val="Stopka"/>
      <w:jc w:val="right"/>
      <w:rPr>
        <w:rFonts w:ascii="Arial" w:hAnsi="Arial" w:cs="Arial"/>
        <w:sz w:val="18"/>
        <w:szCs w:val="18"/>
      </w:rPr>
    </w:pPr>
    <w:r w:rsidRPr="000805DC">
      <w:rPr>
        <w:rFonts w:ascii="Arial" w:hAnsi="Arial" w:cs="Arial"/>
        <w:sz w:val="18"/>
        <w:szCs w:val="18"/>
      </w:rPr>
      <w:t xml:space="preserve">Strona </w:t>
    </w:r>
    <w:r w:rsidRPr="000805DC">
      <w:rPr>
        <w:rFonts w:ascii="Arial" w:hAnsi="Arial" w:cs="Arial"/>
        <w:b/>
        <w:bCs/>
        <w:sz w:val="18"/>
        <w:szCs w:val="18"/>
      </w:rPr>
      <w:fldChar w:fldCharType="begin"/>
    </w:r>
    <w:r w:rsidRPr="000805DC">
      <w:rPr>
        <w:rFonts w:ascii="Arial" w:hAnsi="Arial" w:cs="Arial"/>
        <w:b/>
        <w:bCs/>
        <w:sz w:val="18"/>
        <w:szCs w:val="18"/>
      </w:rPr>
      <w:instrText xml:space="preserve"> PAGE </w:instrText>
    </w:r>
    <w:r w:rsidRPr="000805DC">
      <w:rPr>
        <w:rFonts w:ascii="Arial" w:hAnsi="Arial" w:cs="Arial"/>
        <w:b/>
        <w:bCs/>
        <w:sz w:val="18"/>
        <w:szCs w:val="18"/>
      </w:rPr>
      <w:fldChar w:fldCharType="separate"/>
    </w:r>
    <w:r w:rsidRPr="000805DC">
      <w:rPr>
        <w:rFonts w:ascii="Arial" w:hAnsi="Arial" w:cs="Arial"/>
        <w:b/>
        <w:bCs/>
        <w:sz w:val="18"/>
        <w:szCs w:val="18"/>
      </w:rPr>
      <w:t>2</w:t>
    </w:r>
    <w:r w:rsidRPr="000805DC">
      <w:rPr>
        <w:rFonts w:ascii="Arial" w:hAnsi="Arial" w:cs="Arial"/>
        <w:b/>
        <w:bCs/>
        <w:sz w:val="18"/>
        <w:szCs w:val="18"/>
      </w:rPr>
      <w:fldChar w:fldCharType="end"/>
    </w:r>
    <w:r w:rsidRPr="000805DC">
      <w:rPr>
        <w:rFonts w:ascii="Arial" w:hAnsi="Arial" w:cs="Arial"/>
        <w:sz w:val="18"/>
        <w:szCs w:val="18"/>
      </w:rPr>
      <w:t xml:space="preserve"> z </w:t>
    </w:r>
    <w:r w:rsidRPr="000805DC">
      <w:rPr>
        <w:rFonts w:ascii="Arial" w:hAnsi="Arial" w:cs="Arial"/>
        <w:b/>
        <w:bCs/>
        <w:sz w:val="18"/>
        <w:szCs w:val="18"/>
      </w:rPr>
      <w:fldChar w:fldCharType="begin"/>
    </w:r>
    <w:r w:rsidRPr="000805DC">
      <w:rPr>
        <w:rFonts w:ascii="Arial" w:hAnsi="Arial" w:cs="Arial"/>
        <w:b/>
        <w:bCs/>
        <w:sz w:val="18"/>
        <w:szCs w:val="18"/>
      </w:rPr>
      <w:instrText xml:space="preserve"> NUMPAGES </w:instrText>
    </w:r>
    <w:r w:rsidRPr="000805DC">
      <w:rPr>
        <w:rFonts w:ascii="Arial" w:hAnsi="Arial" w:cs="Arial"/>
        <w:b/>
        <w:bCs/>
        <w:sz w:val="18"/>
        <w:szCs w:val="18"/>
      </w:rPr>
      <w:fldChar w:fldCharType="separate"/>
    </w:r>
    <w:r w:rsidRPr="000805DC">
      <w:rPr>
        <w:rFonts w:ascii="Arial" w:hAnsi="Arial" w:cs="Arial"/>
        <w:b/>
        <w:bCs/>
        <w:sz w:val="18"/>
        <w:szCs w:val="18"/>
      </w:rPr>
      <w:t>2</w:t>
    </w:r>
    <w:r w:rsidRPr="000805DC">
      <w:rPr>
        <w:rFonts w:ascii="Arial" w:hAnsi="Arial" w:cs="Arial"/>
        <w:b/>
        <w:bCs/>
        <w:sz w:val="18"/>
        <w:szCs w:val="18"/>
      </w:rPr>
      <w:fldChar w:fldCharType="end"/>
    </w:r>
  </w:p>
  <w:p w14:paraId="08056FD2" w14:textId="77777777" w:rsidR="00A75714" w:rsidRDefault="00A757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0BDE5" w14:textId="77777777" w:rsidR="000805DC" w:rsidRDefault="000805DC">
      <w:r>
        <w:separator/>
      </w:r>
    </w:p>
  </w:footnote>
  <w:footnote w:type="continuationSeparator" w:id="0">
    <w:p w14:paraId="7A7EF0C9" w14:textId="77777777" w:rsidR="000805DC" w:rsidRDefault="000805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14"/>
    <w:rsid w:val="000805DC"/>
    <w:rsid w:val="005946DB"/>
    <w:rsid w:val="005B46C0"/>
    <w:rsid w:val="005C3BC7"/>
    <w:rsid w:val="00A61BBA"/>
    <w:rsid w:val="00A75714"/>
    <w:rsid w:val="00D94274"/>
    <w:rsid w:val="00E63A6A"/>
    <w:rsid w:val="00F428C6"/>
    <w:rsid w:val="00FD4797"/>
    <w:rsid w:val="00FE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AC64"/>
  <w15:chartTrackingRefBased/>
  <w15:docId w15:val="{249C74EA-FFCB-4BBC-9E06-7003ABFE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714"/>
    <w:pPr>
      <w:widowControl w:val="0"/>
      <w:suppressAutoHyphens/>
      <w:autoSpaceDN w:val="0"/>
      <w:spacing w:line="240" w:lineRule="auto"/>
      <w:ind w:firstLine="0"/>
      <w:textAlignment w:val="baseline"/>
    </w:pPr>
    <w:rPr>
      <w:rFonts w:ascii="Calibri" w:eastAsia="SimSun" w:hAnsi="Calibri" w:cs="Calibri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714"/>
    <w:pPr>
      <w:keepNext/>
      <w:keepLines/>
      <w:suppressAutoHyphens w:val="0"/>
      <w:spacing w:before="360" w:after="80"/>
      <w:ind w:firstLine="72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714"/>
    <w:pPr>
      <w:keepNext/>
      <w:keepLines/>
      <w:suppressAutoHyphens w:val="0"/>
      <w:spacing w:before="160" w:after="80"/>
      <w:ind w:firstLine="72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714"/>
    <w:pPr>
      <w:keepNext/>
      <w:keepLines/>
      <w:suppressAutoHyphens w:val="0"/>
      <w:spacing w:before="160" w:after="80"/>
      <w:ind w:firstLine="72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714"/>
    <w:pPr>
      <w:keepNext/>
      <w:keepLines/>
      <w:suppressAutoHyphens w:val="0"/>
      <w:spacing w:before="80" w:after="40"/>
      <w:ind w:firstLine="72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714"/>
    <w:pPr>
      <w:keepNext/>
      <w:keepLines/>
      <w:suppressAutoHyphens w:val="0"/>
      <w:spacing w:before="80" w:after="40"/>
      <w:ind w:firstLine="72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714"/>
    <w:pPr>
      <w:keepNext/>
      <w:keepLines/>
      <w:suppressAutoHyphens w:val="0"/>
      <w:spacing w:before="40"/>
      <w:ind w:firstLine="72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714"/>
    <w:pPr>
      <w:keepNext/>
      <w:keepLines/>
      <w:suppressAutoHyphens w:val="0"/>
      <w:spacing w:before="40"/>
      <w:ind w:firstLine="72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714"/>
    <w:pPr>
      <w:keepNext/>
      <w:keepLines/>
      <w:suppressAutoHyphens w:val="0"/>
      <w:ind w:firstLine="72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714"/>
    <w:pPr>
      <w:keepNext/>
      <w:keepLines/>
      <w:suppressAutoHyphens w:val="0"/>
      <w:ind w:firstLine="72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7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7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7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7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7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7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714"/>
    <w:pPr>
      <w:suppressAutoHyphens w:val="0"/>
      <w:spacing w:after="80"/>
      <w:ind w:firstLine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75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714"/>
    <w:pPr>
      <w:numPr>
        <w:ilvl w:val="1"/>
      </w:numPr>
      <w:suppressAutoHyphens w:val="0"/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75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714"/>
    <w:pPr>
      <w:suppressAutoHyphens w:val="0"/>
      <w:spacing w:before="160" w:after="160"/>
      <w:ind w:firstLine="72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757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714"/>
    <w:pPr>
      <w:suppressAutoHyphens w:val="0"/>
      <w:ind w:left="720" w:firstLine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757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 w:firstLine="72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7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71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75714"/>
    <w:pPr>
      <w:widowControl w:val="0"/>
      <w:suppressAutoHyphens/>
      <w:autoSpaceDN w:val="0"/>
      <w:spacing w:after="200" w:line="276" w:lineRule="auto"/>
      <w:ind w:firstLine="0"/>
      <w:textAlignment w:val="baseline"/>
    </w:pPr>
    <w:rPr>
      <w:rFonts w:ascii="Calibri" w:eastAsia="SimSun" w:hAnsi="Calibri" w:cs="Calibri"/>
      <w:kern w:val="3"/>
      <w14:ligatures w14:val="none"/>
    </w:rPr>
  </w:style>
  <w:style w:type="paragraph" w:customStyle="1" w:styleId="Standarduser">
    <w:name w:val="Standard (user)"/>
    <w:rsid w:val="00A75714"/>
    <w:pPr>
      <w:suppressAutoHyphens/>
      <w:autoSpaceDN w:val="0"/>
      <w:spacing w:after="200" w:line="276" w:lineRule="auto"/>
      <w:ind w:firstLine="0"/>
      <w:textAlignment w:val="baseline"/>
    </w:pPr>
    <w:rPr>
      <w:rFonts w:ascii="Calibri" w:eastAsia="SimSun" w:hAnsi="Calibri" w:cs="Calibri"/>
      <w:kern w:val="3"/>
      <w14:ligatures w14:val="none"/>
    </w:rPr>
  </w:style>
  <w:style w:type="paragraph" w:styleId="Stopka">
    <w:name w:val="footer"/>
    <w:basedOn w:val="Standard"/>
    <w:link w:val="StopkaZnak"/>
    <w:rsid w:val="00A75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75714"/>
    <w:rPr>
      <w:rFonts w:ascii="Calibri" w:eastAsia="SimSun" w:hAnsi="Calibri" w:cs="Calibri"/>
      <w:kern w:val="3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805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05DC"/>
    <w:rPr>
      <w:rFonts w:ascii="Calibri" w:eastAsia="SimSun" w:hAnsi="Calibri" w:cs="Calibri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Klafetka</dc:creator>
  <cp:keywords/>
  <dc:description/>
  <cp:lastModifiedBy>Roksana Klafetka</cp:lastModifiedBy>
  <cp:revision>4</cp:revision>
  <cp:lastPrinted>2026-03-26T09:21:00Z</cp:lastPrinted>
  <dcterms:created xsi:type="dcterms:W3CDTF">2026-03-10T07:59:00Z</dcterms:created>
  <dcterms:modified xsi:type="dcterms:W3CDTF">2026-03-26T09:21:00Z</dcterms:modified>
</cp:coreProperties>
</file>