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B24D8" w14:textId="77777777" w:rsidR="00D02356" w:rsidRDefault="00000000">
      <w:pPr>
        <w:pStyle w:val="Standarduser"/>
        <w:ind w:left="6240"/>
      </w:pPr>
      <w:r>
        <w:rPr>
          <w:rFonts w:ascii="Arial" w:hAnsi="Arial" w:cs="Times New Roman"/>
          <w:sz w:val="18"/>
          <w:szCs w:val="18"/>
        </w:rPr>
        <w:t>Załącznik nr 1 do decyzji znak: GNR.I.6220.1.2022.33 z dnia 16 maja 2023 r. o środowiskowych uwarunkowaniach na realizację przedsięwzięcia</w:t>
      </w:r>
    </w:p>
    <w:p w14:paraId="1431512E" w14:textId="77777777" w:rsidR="00D02356" w:rsidRDefault="00000000">
      <w:pPr>
        <w:pStyle w:val="Standarduser"/>
        <w:spacing w:before="600"/>
        <w:jc w:val="center"/>
      </w:pPr>
      <w:r>
        <w:rPr>
          <w:rFonts w:ascii="Arial" w:hAnsi="Arial" w:cs="Times New Roman"/>
          <w:b/>
          <w:u w:val="single"/>
        </w:rPr>
        <w:t>CHARAKTERYSTYKA PRZEDSIĘWZIĘCIA</w:t>
      </w:r>
    </w:p>
    <w:p w14:paraId="43041BF7" w14:textId="77777777" w:rsidR="00D02356" w:rsidRDefault="00000000">
      <w:pPr>
        <w:pStyle w:val="Standarduser"/>
        <w:spacing w:after="0"/>
      </w:pPr>
      <w:r>
        <w:rPr>
          <w:rFonts w:ascii="Arial" w:hAnsi="Arial" w:cs="Times New Roman"/>
        </w:rPr>
        <w:t xml:space="preserve">polegającego na: </w:t>
      </w:r>
      <w:r>
        <w:rPr>
          <w:rFonts w:ascii="Arial" w:hAnsi="Arial" w:cs="Times New Roman"/>
          <w:b/>
          <w:bCs/>
        </w:rPr>
        <w:t>„</w:t>
      </w:r>
      <w:r>
        <w:rPr>
          <w:rFonts w:ascii="Arial" w:hAnsi="Arial" w:cs="Arial"/>
          <w:b/>
          <w:iCs/>
        </w:rPr>
        <w:t xml:space="preserve">Budowie nowej części zakładu </w:t>
      </w:r>
      <w:proofErr w:type="spellStart"/>
      <w:r>
        <w:rPr>
          <w:rFonts w:ascii="Arial" w:hAnsi="Arial" w:cs="Arial"/>
          <w:b/>
          <w:iCs/>
        </w:rPr>
        <w:t>Maced</w:t>
      </w:r>
      <w:proofErr w:type="spellEnd"/>
      <w:r>
        <w:rPr>
          <w:rFonts w:ascii="Arial" w:hAnsi="Arial" w:cs="Arial"/>
          <w:b/>
          <w:iCs/>
        </w:rPr>
        <w:t xml:space="preserve"> Sp. z o.o., na terenie działki Nr 5 oraz części działek Nr 4/21 i 4/2, obręb Polanów 7, Polanów, ul. Bobolicka”</w:t>
      </w:r>
    </w:p>
    <w:p w14:paraId="0FB1ACCC" w14:textId="77777777" w:rsidR="00D02356" w:rsidRDefault="00000000">
      <w:pPr>
        <w:pStyle w:val="Standarduser"/>
        <w:spacing w:before="240"/>
      </w:pPr>
      <w:r>
        <w:rPr>
          <w:rFonts w:ascii="Arial" w:hAnsi="Arial" w:cs="Times New Roman"/>
          <w:b/>
        </w:rPr>
        <w:t>1. Rodzaj, cechy, skala i usytuowanie przedsięwzięcia</w:t>
      </w:r>
      <w:r>
        <w:rPr>
          <w:rFonts w:ascii="Times New Roman" w:hAnsi="Times New Roman" w:cs="Times New Roman"/>
          <w:b/>
        </w:rPr>
        <w:t>.</w:t>
      </w:r>
    </w:p>
    <w:p w14:paraId="2E3ECE53" w14:textId="77777777" w:rsidR="00D02356" w:rsidRDefault="00000000">
      <w:pPr>
        <w:pStyle w:val="Standard"/>
        <w:spacing w:after="0"/>
        <w:ind w:firstLine="708"/>
      </w:pPr>
      <w:r>
        <w:rPr>
          <w:rFonts w:ascii="Arial" w:hAnsi="Arial" w:cs="Arial"/>
        </w:rPr>
        <w:t>Przedmiotowe przedsięwzięcie swoim zakresem obejmie budowę hali produkcyjno-magazynowej wraz z niezbędną infrastrukturą techniczną, urządzeniami i obiektami towarzyszącymi, na terenie działki nr 5 oraz części działek nr 4/21 i 4/2 obręb 7 m. Polanów.</w:t>
      </w:r>
    </w:p>
    <w:p w14:paraId="3A7E132E" w14:textId="77777777" w:rsidR="00D02356" w:rsidRDefault="00000000">
      <w:pPr>
        <w:pStyle w:val="Default"/>
        <w:ind w:firstLine="708"/>
        <w:rPr>
          <w:rFonts w:ascii="Arial" w:hAnsi="Arial" w:cs="Arial"/>
          <w:sz w:val="22"/>
          <w:szCs w:val="22"/>
        </w:rPr>
      </w:pPr>
      <w:r>
        <w:rPr>
          <w:rFonts w:ascii="Arial" w:hAnsi="Arial" w:cs="Arial"/>
          <w:sz w:val="22"/>
          <w:szCs w:val="22"/>
        </w:rPr>
        <w:t xml:space="preserve">W ramach inwestycji przewidziano wykonanie następujących elementów: </w:t>
      </w:r>
    </w:p>
    <w:p w14:paraId="11B29B10" w14:textId="77777777" w:rsidR="00D02356" w:rsidRDefault="00000000">
      <w:pPr>
        <w:autoSpaceDE w:val="0"/>
        <w:ind w:firstLine="708"/>
      </w:pPr>
      <w:r>
        <w:rPr>
          <w:rFonts w:ascii="Arial" w:hAnsi="Arial" w:cs="Arial"/>
          <w:color w:val="000000"/>
        </w:rPr>
        <w:t>- hali produkcyjno-magazynowej z mroźnią, pomieszczeniami technologicznymi i technicznymi, zapleczem socjalno-biurowym, o powierzchni zabudowy ok. 7500 m</w:t>
      </w:r>
      <w:r>
        <w:rPr>
          <w:rFonts w:ascii="Arial" w:hAnsi="Arial" w:cs="Arial"/>
          <w:color w:val="000000"/>
          <w:vertAlign w:val="superscript"/>
        </w:rPr>
        <w:t>2</w:t>
      </w:r>
      <w:r>
        <w:rPr>
          <w:rFonts w:ascii="Arial" w:hAnsi="Arial" w:cs="Arial"/>
          <w:color w:val="000000"/>
        </w:rPr>
        <w:t xml:space="preserve">; </w:t>
      </w:r>
    </w:p>
    <w:p w14:paraId="0BF37601" w14:textId="77777777" w:rsidR="00D02356" w:rsidRDefault="00000000">
      <w:pPr>
        <w:autoSpaceDE w:val="0"/>
        <w:ind w:firstLine="708"/>
      </w:pPr>
      <w:r>
        <w:rPr>
          <w:rFonts w:ascii="Arial" w:hAnsi="Arial" w:cs="Arial"/>
          <w:color w:val="000000"/>
        </w:rPr>
        <w:t>- łącznika prowadzącego do istniejącej hali o powierzchni zabudowy do ok. 300 m</w:t>
      </w:r>
      <w:r>
        <w:rPr>
          <w:rFonts w:ascii="Arial" w:hAnsi="Arial" w:cs="Arial"/>
          <w:color w:val="000000"/>
          <w:vertAlign w:val="superscript"/>
        </w:rPr>
        <w:t>2</w:t>
      </w:r>
      <w:r>
        <w:rPr>
          <w:rFonts w:ascii="Arial" w:hAnsi="Arial" w:cs="Arial"/>
          <w:color w:val="000000"/>
        </w:rPr>
        <w:t xml:space="preserve">; </w:t>
      </w:r>
    </w:p>
    <w:p w14:paraId="1602B8E4" w14:textId="77777777" w:rsidR="00D02356" w:rsidRDefault="00000000">
      <w:pPr>
        <w:autoSpaceDE w:val="0"/>
        <w:ind w:firstLine="708"/>
      </w:pPr>
      <w:r>
        <w:rPr>
          <w:rFonts w:ascii="Arial" w:hAnsi="Arial" w:cs="Arial"/>
          <w:color w:val="000000"/>
        </w:rPr>
        <w:t>- zbiornika wody pożarowej o powierzchni ok. 160 m</w:t>
      </w:r>
      <w:r>
        <w:rPr>
          <w:rFonts w:ascii="Arial" w:hAnsi="Arial" w:cs="Arial"/>
          <w:color w:val="000000"/>
          <w:vertAlign w:val="superscript"/>
        </w:rPr>
        <w:t>2</w:t>
      </w:r>
      <w:r>
        <w:rPr>
          <w:rFonts w:ascii="Arial" w:hAnsi="Arial" w:cs="Arial"/>
          <w:color w:val="000000"/>
        </w:rPr>
        <w:t>, pompowni o powierzchni zabudowy ok. 100 m</w:t>
      </w:r>
      <w:r>
        <w:rPr>
          <w:rFonts w:ascii="Arial" w:hAnsi="Arial" w:cs="Arial"/>
          <w:color w:val="000000"/>
          <w:vertAlign w:val="superscript"/>
        </w:rPr>
        <w:t>2</w:t>
      </w:r>
      <w:r>
        <w:rPr>
          <w:rFonts w:ascii="Arial" w:hAnsi="Arial" w:cs="Arial"/>
          <w:color w:val="000000"/>
        </w:rPr>
        <w:t xml:space="preserve"> oraz zbiornika retencyjnego wody deszczowej o powierzchni ok. 1225 m</w:t>
      </w:r>
      <w:r>
        <w:rPr>
          <w:rFonts w:ascii="Arial" w:hAnsi="Arial" w:cs="Arial"/>
          <w:color w:val="000000"/>
          <w:vertAlign w:val="superscript"/>
        </w:rPr>
        <w:t>2</w:t>
      </w:r>
      <w:r>
        <w:rPr>
          <w:rFonts w:ascii="Arial" w:hAnsi="Arial" w:cs="Arial"/>
          <w:color w:val="000000"/>
        </w:rPr>
        <w:t xml:space="preserve">. </w:t>
      </w:r>
    </w:p>
    <w:p w14:paraId="017BC2F9" w14:textId="77777777" w:rsidR="00D02356" w:rsidRDefault="00000000">
      <w:pPr>
        <w:autoSpaceDE w:val="0"/>
        <w:ind w:firstLine="708"/>
        <w:rPr>
          <w:rFonts w:ascii="Arial" w:hAnsi="Arial" w:cs="Arial"/>
          <w:color w:val="000000"/>
        </w:rPr>
      </w:pPr>
      <w:r>
        <w:rPr>
          <w:rFonts w:ascii="Arial" w:hAnsi="Arial" w:cs="Arial"/>
          <w:color w:val="000000"/>
        </w:rPr>
        <w:t xml:space="preserve">- dwóch kontenerów chłodniczych na odpadki odzwierzęce oraz czterech kontenerów na odpadki po opakowaniach; </w:t>
      </w:r>
    </w:p>
    <w:p w14:paraId="03F36A28" w14:textId="77777777" w:rsidR="00D02356" w:rsidRDefault="00000000">
      <w:pPr>
        <w:autoSpaceDE w:val="0"/>
      </w:pPr>
      <w:r>
        <w:rPr>
          <w:rFonts w:ascii="Arial" w:hAnsi="Arial" w:cs="Arial"/>
          <w:color w:val="000000"/>
        </w:rPr>
        <w:t>- obiektów towarzyszących takich jak portiernia o powierzchni zabudowy ok. 45 m</w:t>
      </w:r>
      <w:r>
        <w:rPr>
          <w:rFonts w:ascii="Arial" w:hAnsi="Arial" w:cs="Arial"/>
          <w:color w:val="000000"/>
          <w:vertAlign w:val="superscript"/>
        </w:rPr>
        <w:t>2</w:t>
      </w:r>
      <w:r>
        <w:rPr>
          <w:rFonts w:ascii="Arial" w:hAnsi="Arial" w:cs="Arial"/>
          <w:color w:val="000000"/>
        </w:rPr>
        <w:t xml:space="preserve"> oraz instalacja fotowoltaiczna o łącznej mocy nie przekraczającej 100 kW; </w:t>
      </w:r>
    </w:p>
    <w:p w14:paraId="2C3C2DA4" w14:textId="77777777" w:rsidR="00D02356" w:rsidRDefault="00000000">
      <w:pPr>
        <w:autoSpaceDE w:val="0"/>
        <w:ind w:firstLine="708"/>
        <w:rPr>
          <w:rFonts w:ascii="Arial" w:hAnsi="Arial" w:cs="Arial"/>
          <w:color w:val="000000"/>
        </w:rPr>
      </w:pPr>
      <w:r>
        <w:rPr>
          <w:rFonts w:ascii="Arial" w:hAnsi="Arial" w:cs="Arial"/>
          <w:color w:val="000000"/>
        </w:rPr>
        <w:t xml:space="preserve">- układu komunikacji wewnątrzzakładowej, tj.: miejsc postojowych dla samochodów osobowych (około 40 miejsc postojowych), placu manewrowego obsługi logistycznej dla samochodów ciężarowych i wózków widłowych, drogi pożarowej, placu manewrowego do zawracania dla pojazdów straży pożarnej; </w:t>
      </w:r>
    </w:p>
    <w:p w14:paraId="1BAFB8E4" w14:textId="77777777" w:rsidR="00D02356" w:rsidRDefault="00000000">
      <w:pPr>
        <w:autoSpaceDE w:val="0"/>
        <w:ind w:firstLine="708"/>
      </w:pPr>
      <w:r>
        <w:rPr>
          <w:rFonts w:ascii="Arial" w:hAnsi="Arial" w:cs="Arial"/>
          <w:color w:val="000000"/>
        </w:rPr>
        <w:t xml:space="preserve">- przyzakładowej mechaniczno-chemicznej podczyszczalni ścieków o przepustowości wynoszącej </w:t>
      </w:r>
      <w:proofErr w:type="spellStart"/>
      <w:r>
        <w:rPr>
          <w:rFonts w:ascii="Arial" w:hAnsi="Arial" w:cs="Arial"/>
          <w:color w:val="000000"/>
        </w:rPr>
        <w:t>Qdśr</w:t>
      </w:r>
      <w:proofErr w:type="spellEnd"/>
      <w:r>
        <w:rPr>
          <w:rFonts w:ascii="Arial" w:hAnsi="Arial" w:cs="Arial"/>
          <w:color w:val="000000"/>
        </w:rPr>
        <w:t>= ok. 75 m</w:t>
      </w:r>
      <w:r>
        <w:rPr>
          <w:rFonts w:ascii="Arial" w:hAnsi="Arial" w:cs="Arial"/>
          <w:color w:val="000000"/>
          <w:vertAlign w:val="superscript"/>
        </w:rPr>
        <w:t>3</w:t>
      </w:r>
      <w:r>
        <w:rPr>
          <w:rFonts w:ascii="Arial" w:hAnsi="Arial" w:cs="Arial"/>
          <w:color w:val="000000"/>
        </w:rPr>
        <w:t xml:space="preserve">/d, składającej się z: separatora tłuszczu, kraty lub sita, zbiornika/zbiorników wyrównawczych z wyposażeniem, przepompowni ścieków, układu chemicznej korekty </w:t>
      </w:r>
      <w:proofErr w:type="spellStart"/>
      <w:r>
        <w:rPr>
          <w:rFonts w:ascii="Arial" w:hAnsi="Arial" w:cs="Arial"/>
          <w:color w:val="000000"/>
        </w:rPr>
        <w:t>pH</w:t>
      </w:r>
      <w:proofErr w:type="spellEnd"/>
      <w:r>
        <w:rPr>
          <w:rFonts w:ascii="Arial" w:hAnsi="Arial" w:cs="Arial"/>
          <w:color w:val="000000"/>
        </w:rPr>
        <w:t xml:space="preserve"> ścieków, magazynu chemii wraz z układem dozowania poszczególnych reagentów, komory reakcji – procesu podczyszczania fizycznego, opcjonalnie z węzła doczyszczania biologicznego, zbiornika i urządzenia odwadniania osadów, opcjonalnie zbiornika/zbiorników ścieków podczyszczonych z wyposażeniem, układu zasilania, sterowania i nadzoru; </w:t>
      </w:r>
    </w:p>
    <w:p w14:paraId="3F54C1E1" w14:textId="77777777" w:rsidR="00D02356" w:rsidRDefault="00000000">
      <w:pPr>
        <w:autoSpaceDE w:val="0"/>
        <w:ind w:firstLine="708"/>
        <w:rPr>
          <w:rFonts w:ascii="Arial" w:hAnsi="Arial" w:cs="Arial"/>
          <w:color w:val="000000"/>
        </w:rPr>
      </w:pPr>
      <w:r>
        <w:rPr>
          <w:rFonts w:ascii="Arial" w:hAnsi="Arial" w:cs="Arial"/>
          <w:color w:val="000000"/>
        </w:rPr>
        <w:t xml:space="preserve">- wewnątrzzakładowej instalacji, tj.: sieci wodnej i wody pożarowej, kanalizacji sanitarnej i deszczowej, sieci gazowej, instalacji elektrycznej zasilającej i oświetleniowej, instalacji telekomunikacyjnej. </w:t>
      </w:r>
    </w:p>
    <w:p w14:paraId="319EBC07" w14:textId="77777777" w:rsidR="00D02356" w:rsidRDefault="00000000">
      <w:pPr>
        <w:pStyle w:val="Standarduser"/>
        <w:spacing w:before="240"/>
      </w:pPr>
      <w:r>
        <w:rPr>
          <w:rFonts w:ascii="Arial" w:eastAsia="Times New Roman" w:hAnsi="Arial" w:cs="Times New Roman"/>
          <w:b/>
          <w:lang w:eastAsia="pl-PL"/>
        </w:rPr>
        <w:t>2. Powierzchnia zajmowanej nieruchomości, dotychczasowy sposób wykorzystania i pokrycia szatą roślinną</w:t>
      </w:r>
      <w:r>
        <w:rPr>
          <w:rFonts w:ascii="Times New Roman" w:eastAsia="Times New Roman" w:hAnsi="Times New Roman" w:cs="Times New Roman"/>
          <w:b/>
          <w:szCs w:val="24"/>
          <w:lang w:eastAsia="pl-PL"/>
        </w:rPr>
        <w:t>.</w:t>
      </w:r>
    </w:p>
    <w:p w14:paraId="31A02E43" w14:textId="77777777" w:rsidR="00D02356" w:rsidRDefault="00000000">
      <w:pPr>
        <w:pStyle w:val="Standard"/>
        <w:spacing w:after="0"/>
        <w:ind w:firstLine="708"/>
      </w:pPr>
      <w:r>
        <w:rPr>
          <w:rFonts w:ascii="Arial" w:hAnsi="Arial" w:cs="Arial"/>
        </w:rPr>
        <w:t>Całkowita powierzchnia nieruchomości nr 5 obręb 7 m. Polanów, wynosi 2,7607 ha. Zgodnie z mapą ewidencyjną przedmiotową działkę stanowią grunty orne (</w:t>
      </w:r>
      <w:proofErr w:type="spellStart"/>
      <w:r>
        <w:rPr>
          <w:rFonts w:ascii="Arial" w:hAnsi="Arial" w:cs="Arial"/>
        </w:rPr>
        <w:t>RIIIb</w:t>
      </w:r>
      <w:proofErr w:type="spellEnd"/>
      <w:r>
        <w:rPr>
          <w:rFonts w:ascii="Arial" w:hAnsi="Arial" w:cs="Arial"/>
        </w:rPr>
        <w:t xml:space="preserve">, </w:t>
      </w:r>
      <w:proofErr w:type="spellStart"/>
      <w:r>
        <w:rPr>
          <w:rFonts w:ascii="Arial" w:hAnsi="Arial" w:cs="Arial"/>
        </w:rPr>
        <w:t>RIVa</w:t>
      </w:r>
      <w:proofErr w:type="spellEnd"/>
      <w:r>
        <w:rPr>
          <w:rFonts w:ascii="Arial" w:hAnsi="Arial" w:cs="Arial"/>
        </w:rPr>
        <w:t xml:space="preserve">, </w:t>
      </w:r>
      <w:proofErr w:type="spellStart"/>
      <w:r>
        <w:rPr>
          <w:rFonts w:ascii="Arial" w:hAnsi="Arial" w:cs="Arial"/>
        </w:rPr>
        <w:t>RIVb</w:t>
      </w:r>
      <w:proofErr w:type="spellEnd"/>
      <w:r>
        <w:rPr>
          <w:rFonts w:ascii="Arial" w:hAnsi="Arial" w:cs="Arial"/>
        </w:rPr>
        <w:t xml:space="preserve">), które zostaną przekształcone w ramach przedsięwzięcia. Łączna powierzchnia działek nr 4/21 i 4/2 obręb 7 m. Polanów, wynosi 1,4727 ha. Zgodnie z mapą ewidencyjną ww. działki stanowią tereny przemysłowe (Ba), na których aktualnie znajduje się zakład </w:t>
      </w:r>
      <w:proofErr w:type="spellStart"/>
      <w:r>
        <w:rPr>
          <w:rFonts w:ascii="Arial" w:hAnsi="Arial" w:cs="Arial"/>
        </w:rPr>
        <w:t>Assisi</w:t>
      </w:r>
      <w:proofErr w:type="spellEnd"/>
      <w:r>
        <w:rPr>
          <w:rFonts w:ascii="Arial" w:hAnsi="Arial" w:cs="Arial"/>
        </w:rPr>
        <w:t xml:space="preserve"> Pet </w:t>
      </w:r>
      <w:proofErr w:type="spellStart"/>
      <w:r>
        <w:rPr>
          <w:rFonts w:ascii="Arial" w:hAnsi="Arial" w:cs="Arial"/>
        </w:rPr>
        <w:t>Care</w:t>
      </w:r>
      <w:proofErr w:type="spellEnd"/>
      <w:r>
        <w:rPr>
          <w:rFonts w:ascii="Arial" w:hAnsi="Arial" w:cs="Arial"/>
        </w:rPr>
        <w:t xml:space="preserve"> Sp. z o.o., podlegający przedmiotowej rozbudowie. Wskazano, że po realizacji przedmiotowej inwestycji powierzchnia zabudowy wyniesie około 0,9200 ha, natomiast powierzchnie utwardzone zajmą obszar około 0,7780 ha. Powierzchnia biologicznie czynna na analizowanym terenie wynosić będzie ok. 1,0075 ha.</w:t>
      </w:r>
    </w:p>
    <w:p w14:paraId="691B9262" w14:textId="77777777" w:rsidR="00D02356" w:rsidRDefault="00000000">
      <w:pPr>
        <w:pStyle w:val="Standarduser"/>
        <w:spacing w:before="360"/>
      </w:pPr>
      <w:r>
        <w:rPr>
          <w:rFonts w:ascii="Arial" w:eastAsia="Times New Roman" w:hAnsi="Arial" w:cs="Arial"/>
          <w:b/>
          <w:lang w:eastAsia="pl-PL"/>
        </w:rPr>
        <w:lastRenderedPageBreak/>
        <w:t>3. Rozwiązania chroniące środowisko.</w:t>
      </w:r>
    </w:p>
    <w:p w14:paraId="61CBB5D5" w14:textId="77777777" w:rsidR="00D02356" w:rsidRDefault="00000000">
      <w:pPr>
        <w:pStyle w:val="Standard"/>
        <w:spacing w:after="0"/>
        <w:ind w:firstLine="708"/>
      </w:pPr>
      <w:r>
        <w:rPr>
          <w:rFonts w:ascii="Arial" w:hAnsi="Arial" w:cs="Arial"/>
        </w:rPr>
        <w:t>Faza realizacji przedsięwzięcia związana będzie z typową emisją hałasu do środowiska charakterystyczną dla prac budowlano-montażowych. Oddziaływanie akustyczne na etapie realizacji przedsięwzięcia będzie wynikiem prac ziemnych związanych z przygotowaniem placu budowy oraz pracy maszyn budowlanych i środków transportu, jednak oddziaływania te należy uznać za w pełni odwracalne. W celu ograniczenia uciążliwości hałasowej na terenach podlegających ochronie akustycznej, w niniejszej decyzji nałożono warunek, aby roboty budowlano-montażowe prowadzić wyłącznie w porze dziennej, tj. w godzinach 6.00-22.00. Do realizacji prac budowlanych będzie stosowany wyłącznie sprawny sprzęt budowlany, co zminimalizuje ryzyko niekontrolowanego przedostania się do środowiska gruntowo-wodnego paliw, smarów i olejów oraz ograniczy emisję hałasu, jak również zanieczyszczeń do powietrza. Naprawy i tankowanie pojazdów i maszyn budowlanych prowadzone będą poza terenem budowy i poza terenem zaplecza budowlanego. Teren budowy zostanie zaopatrzony w środki do neutralizacji przypadkowo rozlanych substancji ropopochodnych. W przypadku ich wycieku, zanieczyszczenie zostanie niezwłocznie usunięte za pomocą środków do neutralizacji, a zebrany materiał przekazany do utylizacji uprawnionemu odbiorcy. Na obszarze zainwestowania zostanie zorganizowany plac o nawierzchni utwardzonej (np. z wykorzystaniem płyt betonowych), przeznaczony do składowania materiałów budowlanych i stacjonowania sprzętu budowlanego. Ponadto w fazie realizacji przedmiotowej inwestycji powstające niewielkie ilości ścieków bytowych, będą gromadzone w przenośnych sanitariatach, które będą regularnie opróżniane przez uprawnione do tego podmioty.</w:t>
      </w:r>
      <w:r>
        <w:rPr>
          <w:rFonts w:ascii="Arial" w:eastAsia="Times New Roman" w:hAnsi="Arial" w:cs="Times New Roman"/>
          <w:szCs w:val="24"/>
          <w:lang w:eastAsia="pl-PL"/>
        </w:rPr>
        <w:tab/>
      </w:r>
    </w:p>
    <w:p w14:paraId="5F0B8C5C" w14:textId="77777777" w:rsidR="00D02356" w:rsidRDefault="00000000">
      <w:pPr>
        <w:pStyle w:val="Standard"/>
        <w:spacing w:after="0"/>
        <w:ind w:firstLine="708"/>
      </w:pPr>
      <w:r>
        <w:rPr>
          <w:rFonts w:ascii="Arial" w:hAnsi="Arial" w:cs="Arial"/>
        </w:rPr>
        <w:t>Z kolei na etapie eksploatacji zabudowy przemysłowej należy spodziewać się wystąpienia typowych emisji dla tego typu działalności, przejawiających się m.in. emisją hałasu, emisją zanieczyszczeń do powietrza, wytwarzaniem odpadów i ścieków.</w:t>
      </w:r>
    </w:p>
    <w:p w14:paraId="59149969" w14:textId="77777777" w:rsidR="00D02356" w:rsidRDefault="00000000">
      <w:pPr>
        <w:pStyle w:val="Standard"/>
        <w:spacing w:after="0"/>
        <w:ind w:firstLine="708"/>
      </w:pPr>
      <w:r>
        <w:rPr>
          <w:rFonts w:ascii="Arial" w:hAnsi="Arial" w:cs="Arial"/>
        </w:rPr>
        <w:t>Planowana rozbudowa zakładu spowodowuje zwiększenie emisji hałasu na terenie objętym zamierzeniem inwestycyjnym i położonym w bezpośrednim sąsiedztwie.</w:t>
      </w:r>
    </w:p>
    <w:p w14:paraId="064E31E1" w14:textId="77777777" w:rsidR="00D02356" w:rsidRDefault="00000000">
      <w:pPr>
        <w:pStyle w:val="Standard"/>
        <w:spacing w:after="0"/>
        <w:ind w:firstLine="708"/>
        <w:rPr>
          <w:rFonts w:ascii="Arial" w:hAnsi="Arial" w:cs="Arial"/>
        </w:rPr>
      </w:pPr>
      <w:r>
        <w:rPr>
          <w:rFonts w:ascii="Arial" w:hAnsi="Arial" w:cs="Arial"/>
        </w:rPr>
        <w:t xml:space="preserve">Na etapie eksploatacji zabudowy przemysłowej istotnym źródłem emisji substancji do powietrza będzie spalanie paliw w silnikach pojazdów osobowych poruszających się po terenie istniejącej i projektowanej części zakładu, a także kotłownie gazowe w projektowanej i istniejącej części zakładu, kotły gazowe w suszarniach zlokalizowanych w projektowanej części zakładu, nagrzewnice gazowe i promienniki gazowe w projektowanej i istniejącej części zakładu, silnik diesla w pompowni </w:t>
      </w:r>
      <w:proofErr w:type="gramStart"/>
      <w:r>
        <w:rPr>
          <w:rFonts w:ascii="Arial" w:hAnsi="Arial" w:cs="Arial"/>
        </w:rPr>
        <w:t>p.poż</w:t>
      </w:r>
      <w:proofErr w:type="gramEnd"/>
      <w:r>
        <w:rPr>
          <w:rFonts w:ascii="Arial" w:hAnsi="Arial" w:cs="Arial"/>
        </w:rPr>
        <w:t>. oraz agregat prądotwórczy. Zaznaczyć należy, że przeprowadzone obliczenia propagacji zanieczyszczeń do powietrza we wszystkich punktach obliczeniowych dla każdego rodzaju zanieczyszczeń, nie wykazały występowania przekroczeń obowiązujących norm i stężeń dopuszczalnych w pełnej siatce obliczeniowej.</w:t>
      </w:r>
    </w:p>
    <w:p w14:paraId="00DC4B53" w14:textId="77777777" w:rsidR="00D02356" w:rsidRDefault="00000000">
      <w:pPr>
        <w:pStyle w:val="Standard"/>
        <w:spacing w:after="0"/>
        <w:ind w:firstLine="708"/>
      </w:pPr>
      <w:r>
        <w:rPr>
          <w:rFonts w:ascii="Arial" w:hAnsi="Arial" w:cs="Arial"/>
        </w:rPr>
        <w:t>Eksploatacja projektowanej zabudowy oraz związane z nią emisje nie będą w znaczący sposób przyczyniać się do pogłębiania zmian klimatu, w tym do zwiększenia częstotliwości i skali ekstremalnych zjawisk pogodowych. Przedmiotowa zabudowa i infrastruktura jej towarzysząca zaprojektowane zostaną z uwzględnieniem lokalnych warunków klimatycznych.</w:t>
      </w:r>
    </w:p>
    <w:p w14:paraId="1E4266AD" w14:textId="77777777" w:rsidR="00D02356" w:rsidRDefault="00000000">
      <w:pPr>
        <w:pStyle w:val="Standard"/>
        <w:tabs>
          <w:tab w:val="center" w:pos="7371"/>
        </w:tabs>
        <w:spacing w:before="360" w:after="0"/>
      </w:pPr>
      <w:r>
        <w:rPr>
          <w:rFonts w:ascii="Arial" w:eastAsia="Times New Roman" w:hAnsi="Arial" w:cs="Times New Roman"/>
          <w:szCs w:val="24"/>
          <w:lang w:eastAsia="pl-PL"/>
        </w:rPr>
        <w:tab/>
        <w:t>Burmistrz Polanowa</w:t>
      </w:r>
    </w:p>
    <w:p w14:paraId="7469C52D" w14:textId="77777777" w:rsidR="00D02356" w:rsidRDefault="00000000">
      <w:pPr>
        <w:pStyle w:val="Standarduser"/>
        <w:tabs>
          <w:tab w:val="center" w:pos="7371"/>
        </w:tabs>
      </w:pPr>
      <w:r>
        <w:rPr>
          <w:rFonts w:ascii="Arial" w:eastAsia="Times New Roman" w:hAnsi="Arial" w:cs="Times New Roman"/>
          <w:szCs w:val="24"/>
          <w:lang w:eastAsia="pl-PL"/>
        </w:rPr>
        <w:tab/>
        <w:t>Grzegorz Lipski</w:t>
      </w:r>
    </w:p>
    <w:sectPr w:rsidR="00D02356">
      <w:footerReference w:type="default" r:id="rId7"/>
      <w:pgSz w:w="11906" w:h="16838"/>
      <w:pgMar w:top="709"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C3AB7" w14:textId="77777777" w:rsidR="00DE5967" w:rsidRDefault="00DE5967">
      <w:r>
        <w:separator/>
      </w:r>
    </w:p>
  </w:endnote>
  <w:endnote w:type="continuationSeparator" w:id="0">
    <w:p w14:paraId="0DFB01D2" w14:textId="77777777" w:rsidR="00DE5967" w:rsidRDefault="00DE5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OpenSymbol">
    <w:panose1 w:val="020B0604020202020204"/>
    <w:charset w:val="00"/>
    <w:family w:val="auto"/>
    <w:pitch w:val="variable"/>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2040503050203030202"/>
    <w:charset w:val="01"/>
    <w:family w:val="roman"/>
    <w:pitch w:val="variable"/>
    <w:sig w:usb0="0000A003" w:usb1="00000000" w:usb2="00000000" w:usb3="00000000" w:csb0="00000001" w:csb1="00000000"/>
  </w:font>
  <w:font w:name="F">
    <w:altName w:val="Calibri"/>
    <w:panose1 w:val="020B0604020202020204"/>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A58F" w14:textId="77777777" w:rsidR="008029D9" w:rsidRDefault="00000000">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5BC0126C" w14:textId="77777777" w:rsidR="008029D9"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2EB81" w14:textId="77777777" w:rsidR="00DE5967" w:rsidRDefault="00DE5967">
      <w:r>
        <w:rPr>
          <w:color w:val="000000"/>
        </w:rPr>
        <w:separator/>
      </w:r>
    </w:p>
  </w:footnote>
  <w:footnote w:type="continuationSeparator" w:id="0">
    <w:p w14:paraId="4935AEF1" w14:textId="77777777" w:rsidR="00DE5967" w:rsidRDefault="00DE5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A33B6"/>
    <w:multiLevelType w:val="multilevel"/>
    <w:tmpl w:val="F7681D0E"/>
    <w:styleLink w:val="WWNum5"/>
    <w:lvl w:ilvl="0">
      <w:numFmt w:val="bullet"/>
      <w:lvlText w:val="•"/>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AE504F7"/>
    <w:multiLevelType w:val="multilevel"/>
    <w:tmpl w:val="39EA2194"/>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233843B9"/>
    <w:multiLevelType w:val="multilevel"/>
    <w:tmpl w:val="B678C17A"/>
    <w:styleLink w:val="WWNum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3B086152"/>
    <w:multiLevelType w:val="multilevel"/>
    <w:tmpl w:val="A9607D4C"/>
    <w:styleLink w:val="WWNum2"/>
    <w:lvl w:ilvl="0">
      <w:start w:val="1"/>
      <w:numFmt w:val="decimal"/>
      <w:lvlText w:val="%1."/>
      <w:lvlJc w:val="left"/>
      <w:pPr>
        <w:ind w:left="720" w:hanging="360"/>
      </w:pPr>
      <w:rPr>
        <w:sz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CE62099"/>
    <w:multiLevelType w:val="multilevel"/>
    <w:tmpl w:val="85E89D44"/>
    <w:styleLink w:val="WWNum4"/>
    <w:lvl w:ilvl="0">
      <w:numFmt w:val="bullet"/>
      <w:lvlText w:val="•"/>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66050ED5"/>
    <w:multiLevelType w:val="multilevel"/>
    <w:tmpl w:val="7218727E"/>
    <w:styleLink w:val="WWNum1"/>
    <w:lvl w:ilvl="0">
      <w:numFmt w:val="bullet"/>
      <w:lvlText w:val="–"/>
      <w:lvlJc w:val="left"/>
      <w:pPr>
        <w:ind w:left="720" w:hanging="360"/>
      </w:pPr>
      <w:rPr>
        <w:rFonts w:ascii="Times New Roman" w:eastAsia="OpenSymbol" w:hAnsi="Times New Roman" w:cs="OpenSymbol"/>
      </w:rPr>
    </w:lvl>
    <w:lvl w:ilvl="1">
      <w:numFmt w:val="bullet"/>
      <w:lvlText w:val="–"/>
      <w:lvlJc w:val="left"/>
      <w:pPr>
        <w:ind w:left="1080" w:hanging="360"/>
      </w:pPr>
      <w:rPr>
        <w:rFonts w:ascii="Times New Roman" w:eastAsia="OpenSymbol" w:hAnsi="Times New Roman" w:cs="OpenSymbol"/>
      </w:rPr>
    </w:lvl>
    <w:lvl w:ilvl="2">
      <w:numFmt w:val="bullet"/>
      <w:lvlText w:val="–"/>
      <w:lvlJc w:val="left"/>
      <w:pPr>
        <w:ind w:left="1440" w:hanging="360"/>
      </w:pPr>
      <w:rPr>
        <w:rFonts w:ascii="Times New Roman" w:eastAsia="OpenSymbol" w:hAnsi="Times New Roman" w:cs="OpenSymbol"/>
      </w:rPr>
    </w:lvl>
    <w:lvl w:ilvl="3">
      <w:numFmt w:val="bullet"/>
      <w:lvlText w:val="–"/>
      <w:lvlJc w:val="left"/>
      <w:pPr>
        <w:ind w:left="1800" w:hanging="360"/>
      </w:pPr>
      <w:rPr>
        <w:rFonts w:ascii="Times New Roman" w:eastAsia="OpenSymbol" w:hAnsi="Times New Roman" w:cs="OpenSymbol"/>
      </w:rPr>
    </w:lvl>
    <w:lvl w:ilvl="4">
      <w:numFmt w:val="bullet"/>
      <w:lvlText w:val="–"/>
      <w:lvlJc w:val="left"/>
      <w:pPr>
        <w:ind w:left="2160" w:hanging="360"/>
      </w:pPr>
      <w:rPr>
        <w:rFonts w:ascii="Times New Roman" w:eastAsia="OpenSymbol" w:hAnsi="Times New Roman" w:cs="OpenSymbol"/>
      </w:rPr>
    </w:lvl>
    <w:lvl w:ilvl="5">
      <w:numFmt w:val="bullet"/>
      <w:lvlText w:val="–"/>
      <w:lvlJc w:val="left"/>
      <w:pPr>
        <w:ind w:left="2520" w:hanging="360"/>
      </w:pPr>
      <w:rPr>
        <w:rFonts w:ascii="Times New Roman" w:eastAsia="OpenSymbol" w:hAnsi="Times New Roman" w:cs="OpenSymbol"/>
      </w:rPr>
    </w:lvl>
    <w:lvl w:ilvl="6">
      <w:numFmt w:val="bullet"/>
      <w:lvlText w:val="–"/>
      <w:lvlJc w:val="left"/>
      <w:pPr>
        <w:ind w:left="2880" w:hanging="360"/>
      </w:pPr>
      <w:rPr>
        <w:rFonts w:ascii="Times New Roman" w:eastAsia="OpenSymbol" w:hAnsi="Times New Roman" w:cs="OpenSymbol"/>
      </w:rPr>
    </w:lvl>
    <w:lvl w:ilvl="7">
      <w:numFmt w:val="bullet"/>
      <w:lvlText w:val="–"/>
      <w:lvlJc w:val="left"/>
      <w:pPr>
        <w:ind w:left="3240" w:hanging="360"/>
      </w:pPr>
      <w:rPr>
        <w:rFonts w:ascii="Times New Roman" w:eastAsia="OpenSymbol" w:hAnsi="Times New Roman" w:cs="OpenSymbol"/>
      </w:rPr>
    </w:lvl>
    <w:lvl w:ilvl="8">
      <w:numFmt w:val="bullet"/>
      <w:lvlText w:val="–"/>
      <w:lvlJc w:val="left"/>
      <w:pPr>
        <w:ind w:left="3600" w:hanging="360"/>
      </w:pPr>
      <w:rPr>
        <w:rFonts w:ascii="Times New Roman" w:eastAsia="OpenSymbol" w:hAnsi="Times New Roman" w:cs="OpenSymbol"/>
      </w:rPr>
    </w:lvl>
  </w:abstractNum>
  <w:abstractNum w:abstractNumId="6" w15:restartNumberingAfterBreak="0">
    <w:nsid w:val="738330DE"/>
    <w:multiLevelType w:val="multilevel"/>
    <w:tmpl w:val="E0605ED4"/>
    <w:styleLink w:val="WWNum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16cid:durableId="1328751043">
    <w:abstractNumId w:val="1"/>
  </w:num>
  <w:num w:numId="2" w16cid:durableId="1844781396">
    <w:abstractNumId w:val="5"/>
  </w:num>
  <w:num w:numId="3" w16cid:durableId="806321646">
    <w:abstractNumId w:val="3"/>
  </w:num>
  <w:num w:numId="4" w16cid:durableId="579368996">
    <w:abstractNumId w:val="6"/>
  </w:num>
  <w:num w:numId="5" w16cid:durableId="1510214102">
    <w:abstractNumId w:val="4"/>
  </w:num>
  <w:num w:numId="6" w16cid:durableId="88893564">
    <w:abstractNumId w:val="0"/>
  </w:num>
  <w:num w:numId="7" w16cid:durableId="204485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02356"/>
    <w:rsid w:val="002313C0"/>
    <w:rsid w:val="00D02356"/>
    <w:rsid w:val="00DE59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73C83DB2"/>
  <w15:docId w15:val="{C67D6041-2349-2743-9740-33C1B85F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40"/>
    </w:pPr>
  </w:style>
  <w:style w:type="paragraph" w:styleId="Lista">
    <w:name w:val="List"/>
    <w:basedOn w:val="Textbodyuser"/>
    <w:rPr>
      <w:rFonts w:cs="Mangal"/>
    </w:rPr>
  </w:style>
  <w:style w:type="paragraph" w:styleId="Legenda">
    <w:name w:val="caption"/>
    <w:basedOn w:val="Standarduser"/>
    <w:pPr>
      <w:suppressLineNumbers/>
      <w:spacing w:before="120" w:after="120"/>
    </w:pPr>
    <w:rPr>
      <w:rFonts w:cs="Mangal"/>
      <w:i/>
      <w:iCs/>
      <w:sz w:val="24"/>
      <w:szCs w:val="24"/>
    </w:rPr>
  </w:style>
  <w:style w:type="paragraph" w:customStyle="1" w:styleId="Index">
    <w:name w:val="Index"/>
    <w:basedOn w:val="Standarduser"/>
    <w:pPr>
      <w:suppressLineNumbers/>
    </w:pPr>
    <w:rPr>
      <w:rFonts w:cs="Mangal"/>
    </w:rPr>
  </w:style>
  <w:style w:type="paragraph" w:customStyle="1" w:styleId="Standarduser">
    <w:name w:val="Standard (user)"/>
    <w:pPr>
      <w:widowControl/>
      <w:suppressAutoHyphens/>
      <w:spacing w:after="200" w:line="276" w:lineRule="auto"/>
    </w:pPr>
  </w:style>
  <w:style w:type="paragraph" w:styleId="Nagwek">
    <w:name w:val="header"/>
    <w:basedOn w:val="Standard"/>
    <w:pPr>
      <w:tabs>
        <w:tab w:val="center" w:pos="4536"/>
        <w:tab w:val="right" w:pos="9072"/>
      </w:tabs>
      <w:spacing w:after="0" w:line="240" w:lineRule="auto"/>
    </w:pPr>
  </w:style>
  <w:style w:type="paragraph" w:customStyle="1" w:styleId="Textbodyuser">
    <w:name w:val="Text body (user)"/>
    <w:basedOn w:val="Standarduser"/>
    <w:pPr>
      <w:spacing w:after="120"/>
    </w:pPr>
  </w:style>
  <w:style w:type="paragraph" w:styleId="Stopka">
    <w:name w:val="footer"/>
    <w:basedOn w:val="Standard"/>
    <w:pPr>
      <w:tabs>
        <w:tab w:val="center" w:pos="4536"/>
        <w:tab w:val="right" w:pos="9072"/>
      </w:tabs>
      <w:spacing w:after="0" w:line="240" w:lineRule="auto"/>
    </w:pPr>
  </w:style>
  <w:style w:type="paragraph" w:customStyle="1" w:styleId="Default">
    <w:name w:val="Default"/>
    <w:pPr>
      <w:widowControl/>
      <w:suppressAutoHyphens/>
      <w:textAlignment w:val="auto"/>
    </w:pPr>
    <w:rPr>
      <w:rFonts w:ascii="Times New Roman" w:eastAsia="Calibri" w:hAnsi="Times New Roman" w:cs="Times New Roman"/>
      <w:color w:val="000000"/>
      <w:kern w:val="0"/>
      <w:sz w:val="24"/>
      <w:szCs w:val="24"/>
    </w:rPr>
  </w:style>
  <w:style w:type="paragraph" w:styleId="Akapitzlist">
    <w:name w:val="List Paragraph"/>
    <w:basedOn w:val="Standard"/>
    <w:pPr>
      <w:widowControl/>
      <w:suppressAutoHyphens w:val="0"/>
      <w:ind w:left="720"/>
      <w:textAlignment w:val="auto"/>
    </w:pPr>
    <w:rPr>
      <w:rFonts w:eastAsia="Calibri" w:cs="F"/>
      <w:kern w:val="0"/>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ListLabel1">
    <w:name w:val="ListLabel 1"/>
    <w:rPr>
      <w:rFonts w:eastAsia="OpenSymbol" w:cs="OpenSymbol"/>
    </w:rPr>
  </w:style>
  <w:style w:type="character" w:customStyle="1" w:styleId="ListLabel2">
    <w:name w:val="ListLabel 2"/>
    <w:rPr>
      <w:rFonts w:eastAsia="OpenSymbol" w:cs="OpenSymbol"/>
    </w:rPr>
  </w:style>
  <w:style w:type="character" w:customStyle="1" w:styleId="ListLabel3">
    <w:name w:val="ListLabel 3"/>
    <w:rPr>
      <w:rFonts w:eastAsia="OpenSymbol" w:cs="OpenSymbol"/>
    </w:rPr>
  </w:style>
  <w:style w:type="character" w:customStyle="1" w:styleId="ListLabel4">
    <w:name w:val="ListLabel 4"/>
    <w:rPr>
      <w:rFonts w:eastAsia="OpenSymbol" w:cs="OpenSymbol"/>
    </w:rPr>
  </w:style>
  <w:style w:type="character" w:customStyle="1" w:styleId="ListLabel5">
    <w:name w:val="ListLabel 5"/>
    <w:rPr>
      <w:rFonts w:eastAsia="OpenSymbol" w:cs="OpenSymbol"/>
    </w:rPr>
  </w:style>
  <w:style w:type="character" w:customStyle="1" w:styleId="ListLabel6">
    <w:name w:val="ListLabel 6"/>
    <w:rPr>
      <w:rFonts w:eastAsia="OpenSymbol" w:cs="OpenSymbol"/>
    </w:rPr>
  </w:style>
  <w:style w:type="character" w:customStyle="1" w:styleId="ListLabel7">
    <w:name w:val="ListLabel 7"/>
    <w:rPr>
      <w:rFonts w:eastAsia="OpenSymbol" w:cs="OpenSymbol"/>
    </w:rPr>
  </w:style>
  <w:style w:type="character" w:customStyle="1" w:styleId="ListLabel8">
    <w:name w:val="ListLabel 8"/>
    <w:rPr>
      <w:rFonts w:eastAsia="OpenSymbol" w:cs="OpenSymbol"/>
    </w:rPr>
  </w:style>
  <w:style w:type="character" w:customStyle="1" w:styleId="ListLabel9">
    <w:name w:val="ListLabel 9"/>
    <w:rPr>
      <w:rFonts w:eastAsia="OpenSymbol" w:cs="OpenSymbol"/>
    </w:rPr>
  </w:style>
  <w:style w:type="character" w:customStyle="1" w:styleId="ListLabel10">
    <w:name w:val="ListLabel 10"/>
    <w:rPr>
      <w:sz w:val="19"/>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numbering" w:customStyle="1" w:styleId="NoList">
    <w:name w:val="No List"/>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945</Words>
  <Characters>5674</Characters>
  <Application>Microsoft Office Word</Application>
  <DocSecurity>0</DocSecurity>
  <Lines>47</Lines>
  <Paragraphs>13</Paragraphs>
  <ScaleCrop>false</ScaleCrop>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Krzysztof Szypulski</cp:lastModifiedBy>
  <cp:revision>2</cp:revision>
  <cp:lastPrinted>2023-05-10T07:43:00Z</cp:lastPrinted>
  <dcterms:created xsi:type="dcterms:W3CDTF">2023-05-16T11:06:00Z</dcterms:created>
  <dcterms:modified xsi:type="dcterms:W3CDTF">2023-05-16T11:06:00Z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